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E57" w14:textId="77777777" w:rsidR="00F63A89" w:rsidRPr="00F63A89" w:rsidRDefault="00F63A89" w:rsidP="00F63A89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Burmistrz Miasta i Gminy Gołańcz</w:t>
      </w:r>
    </w:p>
    <w:p w14:paraId="1EF77B3F" w14:textId="77777777" w:rsidR="00F63A89" w:rsidRPr="00F63A89" w:rsidRDefault="00F63A89" w:rsidP="00F63A8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73FD8FC" w14:textId="77777777" w:rsidR="00F63A89" w:rsidRPr="00F63A89" w:rsidRDefault="00F63A89" w:rsidP="00F63A89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ustawy z dnia 24 kwietnia 2003 r. o działalności pożytku publicznego i o wolontariacie </w:t>
      </w:r>
      <w:bookmarkStart w:id="0" w:name="_Hlk25838578"/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</w:t>
      </w:r>
      <w:bookmarkStart w:id="1" w:name="_Hlk152328261"/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Dz.U. z 2023 r., poz. 571</w:t>
      </w:r>
      <w:bookmarkEnd w:id="1"/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</w:t>
      </w:r>
      <w:bookmarkEnd w:id="0"/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Uchwały nr LVI/455/23 Rady Miasta i Gminy Gołańcz z dnia 26 września 2023 r. w sprawie uchwalenia rocznego programu współpracy z organizacjami pozarządowymi oraz z innymi podmiotami, prowadzącymi działalność pożytku publicznego na 2024 rok, ogłasza</w:t>
      </w:r>
      <w:r w:rsidRPr="00F63A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</w:t>
      </w:r>
    </w:p>
    <w:p w14:paraId="0773FEC3" w14:textId="7E4E0DB5" w:rsidR="00F63A89" w:rsidRPr="00F63A89" w:rsidRDefault="00F63A89" w:rsidP="00F63A89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63A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F63A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otwarty konkurs ofert na realizację zadań publicznych w 2024 roku przez organizacje pozarządowe oraz podmioty, o których mowa w art. 3 ust. 3 ustawy z dnia 24 kwietnia 2003 r. o działalności pożytku publicznego i o wolontariacie, działające na terenie Miasta i Gminy Gołańcz.</w:t>
      </w:r>
    </w:p>
    <w:p w14:paraId="34FD0729" w14:textId="77777777" w:rsidR="00F63A89" w:rsidRPr="00F63A89" w:rsidRDefault="00F63A89" w:rsidP="00F63A8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I. Rodzaje zadań oraz wysokość środków publicznych przeznaczonych na ich realizację: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                                                  </w:t>
      </w:r>
    </w:p>
    <w:p w14:paraId="6A087101" w14:textId="77777777" w:rsidR="00F63A89" w:rsidRPr="00F63A89" w:rsidRDefault="00F63A89" w:rsidP="00F63A89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Wspieranie i upowszechnianie kultury fizycznej </w:t>
      </w:r>
    </w:p>
    <w:p w14:paraId="60E42DA5" w14:textId="77777777" w:rsidR="00F63A89" w:rsidRPr="00F63A89" w:rsidRDefault="00F63A89" w:rsidP="00F63A89">
      <w:pPr>
        <w:widowControl w:val="0"/>
        <w:numPr>
          <w:ilvl w:val="1"/>
          <w:numId w:val="5"/>
        </w:numPr>
        <w:suppressAutoHyphens/>
        <w:spacing w:after="0" w:line="276" w:lineRule="auto"/>
        <w:ind w:left="432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F63A8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Organizowanie pozalekcyjnych form aktywności sportowej uczniów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: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</w:p>
    <w:p w14:paraId="2CB7FD91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1.1.1 Celem jest promocja zdrowego stylu życia wśród uczestników zajęć, </w:t>
      </w:r>
    </w:p>
    <w:p w14:paraId="2987695C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czasu.</w:t>
      </w:r>
    </w:p>
    <w:p w14:paraId="4AE1C56A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1.1.2 Realizacja zadania publicznego winna być realizowana poprzez: prowadzenie systematycznych zajęć sportowych dla dzieci i młodzieży:</w:t>
      </w:r>
    </w:p>
    <w:p w14:paraId="525F48ED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prowadzenie szkolenia sportowego dla dzieci i młodzieży, w tym: zapewnienie przygotowanej pod względem merytorycznym kadry szkoleniowej, zapewnienie transportu, kadry wychowawczo-opiekuńczej, wynajęcia obiektów potrzebnych do realizacji zadania,</w:t>
      </w:r>
    </w:p>
    <w:p w14:paraId="2C7D88A3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 zakup sprzętu sportowego niezbędnego do procesu szkoleniowego dzieci i młodzieży.</w:t>
      </w:r>
    </w:p>
    <w:p w14:paraId="66EF9534" w14:textId="77777777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103BCA61" w14:textId="77777777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zajęć, lista osób objętych grupowym/zbiorowym ubezpieczeniem.</w:t>
      </w:r>
    </w:p>
    <w:p w14:paraId="60CFA096" w14:textId="694BD740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20.000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185080EC" w14:textId="5F37C6FE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636E9CD2" w14:textId="7315ABE8" w:rsidR="00F63A89" w:rsidRPr="00F63A89" w:rsidRDefault="00F63A89" w:rsidP="00F63A89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Na powyższe zadanie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20.000 zł i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20.000 zł.</w:t>
      </w:r>
    </w:p>
    <w:p w14:paraId="2583223F" w14:textId="77777777" w:rsidR="00F63A89" w:rsidRPr="00F63A89" w:rsidRDefault="00F63A89" w:rsidP="00F63A89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Organizowanie imprez rekreacyjno-sportowych dla dorosłych, dzieci i młodzieży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: </w:t>
      </w:r>
    </w:p>
    <w:p w14:paraId="32C58B54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1.2.1 Celem jest promocja zdrowego stylu życia wśród uczestników zajęć, </w:t>
      </w:r>
    </w:p>
    <w:p w14:paraId="5F7ED115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propagowanie aktywności ruchowej, zagospodarowanie wolnego czasu.</w:t>
      </w:r>
    </w:p>
    <w:p w14:paraId="1F27FBFB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1.2.2 Realizacja zadania publicznego winna być realizowana poprzez: przeprowadzenie imprez rekreacyjno-sportowych dla dorosłych, dzieci i młodzieży:</w:t>
      </w:r>
    </w:p>
    <w:p w14:paraId="5BFA8E7E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zorganizowanie imprez sportowo-rekreacyjnych dla mieszkańców miasta i gminy Gołańcz, w tym: zapewnienie przygotowanej pod względem merytorycznym kadry sędziowskiej, kadry wychowawczo-opiekuńczej, wynajęcia obiektów potrzebnych do realizacji zadania,</w:t>
      </w:r>
    </w:p>
    <w:p w14:paraId="36396E76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- zakup artykułów niezbędnych do organizacji imprezy.</w:t>
      </w:r>
    </w:p>
    <w:p w14:paraId="544F73EA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imprezach, liczba zorganizowanych przedsięwzięć.</w:t>
      </w:r>
    </w:p>
    <w:p w14:paraId="071ECA0D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uczestników.</w:t>
      </w:r>
    </w:p>
    <w:p w14:paraId="433A19BB" w14:textId="77777777" w:rsidR="00F63A89" w:rsidRPr="00F63A89" w:rsidRDefault="00F63A89" w:rsidP="00F63A89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14:ligatures w14:val="none"/>
        </w:rPr>
      </w:pPr>
    </w:p>
    <w:p w14:paraId="26F9FFF0" w14:textId="77777777" w:rsidR="00F63A89" w:rsidRPr="00F63A89" w:rsidRDefault="00F63A89" w:rsidP="00F63A89">
      <w:pPr>
        <w:widowControl w:val="0"/>
        <w:numPr>
          <w:ilvl w:val="1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14:ligatures w14:val="none"/>
        </w:rPr>
      </w:pPr>
    </w:p>
    <w:p w14:paraId="5FDC6E55" w14:textId="77777777" w:rsidR="00F63A89" w:rsidRPr="00F63A89" w:rsidRDefault="00F63A89" w:rsidP="00F63A89">
      <w:pPr>
        <w:widowControl w:val="0"/>
        <w:numPr>
          <w:ilvl w:val="1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  <w14:ligatures w14:val="none"/>
        </w:rPr>
      </w:pPr>
    </w:p>
    <w:p w14:paraId="26818C0C" w14:textId="0094F7AA" w:rsidR="00F63A89" w:rsidRPr="00F63A89" w:rsidRDefault="00F63A89" w:rsidP="00F63A89">
      <w:pPr>
        <w:widowControl w:val="0"/>
        <w:numPr>
          <w:ilvl w:val="2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10.000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52E661AE" w14:textId="58F64E5C" w:rsidR="00F63A89" w:rsidRPr="00F63A89" w:rsidRDefault="00F63A89" w:rsidP="00F63A89">
      <w:pPr>
        <w:widowControl w:val="0"/>
        <w:numPr>
          <w:ilvl w:val="2"/>
          <w:numId w:val="13"/>
        </w:numPr>
        <w:tabs>
          <w:tab w:val="left" w:pos="1560"/>
        </w:tabs>
        <w:suppressAutoHyphens/>
        <w:spacing w:after="0" w:line="276" w:lineRule="auto"/>
        <w:ind w:left="1276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6B3E2853" w14:textId="77777777" w:rsidR="00F63A89" w:rsidRPr="00F63A89" w:rsidRDefault="00F63A89" w:rsidP="00F63A89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4A9DE95E" w14:textId="77777777" w:rsidR="00F63A89" w:rsidRPr="00F63A89" w:rsidRDefault="00F63A89" w:rsidP="00F63A89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270EA6AC" w14:textId="5E761148" w:rsidR="00F63A89" w:rsidRPr="00F63A89" w:rsidRDefault="00F63A89" w:rsidP="00F63A89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Na powyższe zadanie w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udzielono dotacji w kwocie 10.000 zł i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roku udzielono dotacji w kwocie 10.000 zł.</w:t>
      </w:r>
    </w:p>
    <w:p w14:paraId="781CE10F" w14:textId="77777777" w:rsidR="00F63A89" w:rsidRPr="00F63A89" w:rsidRDefault="00F63A89" w:rsidP="00F63A89">
      <w:pPr>
        <w:widowControl w:val="0"/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Działalność na rzecz osób w wieku emerytalnym: </w:t>
      </w:r>
    </w:p>
    <w:p w14:paraId="06F2EEB8" w14:textId="77777777" w:rsidR="00F63A89" w:rsidRPr="00F63A89" w:rsidRDefault="00F63A89" w:rsidP="00F63A89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2.1. Zajęcia aktywizujące i prozdrowotne dla osób powyżej 50. roku życia:</w:t>
      </w:r>
    </w:p>
    <w:p w14:paraId="30BCBC78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2.1.1 Celem jest 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zwiększenie aktywności kulturalnej, edukacyjnej i społecznej osób starszych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, zagospodarowanie wolnego czasu.</w:t>
      </w:r>
    </w:p>
    <w:p w14:paraId="53972734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2.1.2 Realizacja zadania publicznego winna być realizowana poprzez: organizację zajęć/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wyjazdów kulturalno-edukacyjnych/wydarzeń kulturalno-edukacyjnych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dla 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minimum 10 osób w wieku powyżej 50 lat minimum raz w miesiącu, w okresie od stycznia do grudnia.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Rezultaty działania to np. liczba osób, które uczestniczyły w zajęciach, liczba godzin zajęć.</w:t>
      </w:r>
    </w:p>
    <w:p w14:paraId="68C7C709" w14:textId="77777777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 zajęć, dzienniki zajęć.</w:t>
      </w:r>
    </w:p>
    <w:p w14:paraId="532B999B" w14:textId="79CB51D7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20.000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4AB0BA61" w14:textId="591232CB" w:rsidR="00F63A89" w:rsidRPr="00F63A89" w:rsidRDefault="00F63A89" w:rsidP="00F63A89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78EB0ABA" w14:textId="77777777" w:rsidR="00F63A89" w:rsidRPr="00F63A89" w:rsidRDefault="00F63A89" w:rsidP="00F63A89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6C078C8F" w14:textId="77777777" w:rsidR="00F63A89" w:rsidRPr="00F63A89" w:rsidRDefault="00F63A89" w:rsidP="00F63A89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78A8480D" w14:textId="5445A0D9" w:rsidR="00F63A89" w:rsidRDefault="00F63A89" w:rsidP="00F63A89">
      <w:pPr>
        <w:spacing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Na powyższe zadanie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2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udzielono dotacji w kwocie 20.000 zł i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3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roku udzielono dotacji w kwocie 20.000 zł.</w:t>
      </w:r>
    </w:p>
    <w:p w14:paraId="2DD24786" w14:textId="35103D64" w:rsidR="00F63A89" w:rsidRPr="00F63A89" w:rsidRDefault="00F63A89" w:rsidP="00F63A8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D84AE5">
        <w:rPr>
          <w:rFonts w:ascii="Times New Roman" w:hAnsi="Times New Roman" w:cs="Times New Roman"/>
          <w:b/>
          <w:bCs/>
          <w:sz w:val="24"/>
          <w:szCs w:val="24"/>
        </w:rPr>
        <w:t>Kultur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4AE5">
        <w:rPr>
          <w:rFonts w:ascii="Times New Roman" w:hAnsi="Times New Roman" w:cs="Times New Roman"/>
          <w:b/>
          <w:bCs/>
          <w:sz w:val="24"/>
          <w:szCs w:val="24"/>
        </w:rPr>
        <w:t>, sztuk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4AE5">
        <w:rPr>
          <w:rFonts w:ascii="Times New Roman" w:hAnsi="Times New Roman" w:cs="Times New Roman"/>
          <w:b/>
          <w:bCs/>
          <w:sz w:val="24"/>
          <w:szCs w:val="24"/>
        </w:rPr>
        <w:t>, ochrony dóbr kultury i dziedzictwa narodowego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134DEC" w14:textId="20ABD6E2" w:rsidR="00F63A89" w:rsidRDefault="00F63A89" w:rsidP="00F63A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34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pl-PL"/>
          <w14:ligatures w14:val="none"/>
        </w:rPr>
        <w:t>3.1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F63A89">
        <w:rPr>
          <w:rFonts w:ascii="Times New Roman" w:hAnsi="Times New Roman" w:cs="Times New Roman"/>
          <w:b/>
          <w:bCs/>
          <w:sz w:val="24"/>
          <w:szCs w:val="24"/>
        </w:rPr>
        <w:t>Organizowanie życia kulturalnego dla emerytów, rencistów i inwalidów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5A087C" w14:textId="325D2476" w:rsidR="00F63A89" w:rsidRDefault="00F63A89" w:rsidP="00F63A89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B5343">
        <w:rPr>
          <w:rFonts w:ascii="Times New Roman" w:hAnsi="Times New Roman" w:cs="Times New Roman"/>
          <w:b/>
          <w:bCs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Celem jest zagospodarowanie wolnego czasu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="006365E1"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</w:t>
      </w:r>
      <w:r w:rsidR="006365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="006365E1"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</w:t>
      </w:r>
      <w:r w:rsidR="006365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="006365E1"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starszy</w:t>
      </w:r>
      <w:r w:rsidR="006365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4AA2B0A4" w14:textId="69734371" w:rsidR="00F63A89" w:rsidRDefault="00F63A89" w:rsidP="00F63A89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B534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3.1.2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Realizacja zadania publicznego winna być realizowana poprzez: organizację zajęć/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wyjazdów kulturalno-edukacyjnych/wydarzeń kulturalno-edukacyjnych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dla 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minimum 10 osób w wieku powyżej 5</w:t>
      </w:r>
      <w:r w:rsidR="006365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F63A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lat w okresie od stycznia do grudnia.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Rezultaty działania to np. liczba osób, które uczestniczyły w 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wydarzeniach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17E8470B" w14:textId="45F42DF8" w:rsidR="00F63A89" w:rsidRDefault="00F63A89" w:rsidP="00F63A89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B534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3.1.3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Sposób monitorowania to np. lista uczestników.</w:t>
      </w:r>
    </w:p>
    <w:p w14:paraId="4B001BEF" w14:textId="2CDAF8B7" w:rsidR="00F63A89" w:rsidRDefault="00F63A89" w:rsidP="00F63A89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B534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3.1.4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Wysokość środków przeznaczonych na realizację zadania w 202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 – do </w:t>
      </w: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20.000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 zł.</w:t>
      </w:r>
    </w:p>
    <w:p w14:paraId="76B07036" w14:textId="591E0440" w:rsidR="00F63A89" w:rsidRPr="00F63A89" w:rsidRDefault="00F63A89" w:rsidP="00F63A89">
      <w:pPr>
        <w:spacing w:after="0" w:line="276" w:lineRule="auto"/>
        <w:ind w:left="1276" w:hanging="56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B534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3.1.5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Termin realizacji zadania: styczeń – grudzień 202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r.</w:t>
      </w:r>
    </w:p>
    <w:p w14:paraId="69CDBF20" w14:textId="77777777" w:rsidR="00F63A89" w:rsidRPr="00F63A89" w:rsidRDefault="00F63A89" w:rsidP="00F63A89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152A240A" w14:textId="77777777" w:rsidR="00F63A89" w:rsidRPr="00F63A89" w:rsidRDefault="00F63A89" w:rsidP="00F63A89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  <w14:ligatures w14:val="none"/>
        </w:rPr>
      </w:pPr>
    </w:p>
    <w:p w14:paraId="302F9566" w14:textId="6FC55893" w:rsidR="00F63A89" w:rsidRPr="00F63A89" w:rsidRDefault="00F63A89" w:rsidP="006365E1">
      <w:pPr>
        <w:spacing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Na powyższe zadanie w 202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2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udzielono dotacji w kwocie 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9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.000 zł i w 202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3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roku udzielono dotacji w kwocie 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9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.000 zł.</w:t>
      </w:r>
    </w:p>
    <w:p w14:paraId="149FDC86" w14:textId="77777777" w:rsidR="00F63A89" w:rsidRPr="00F63A89" w:rsidRDefault="00F63A89" w:rsidP="00F63A8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 Zasady przyznawania dotacji:</w:t>
      </w:r>
    </w:p>
    <w:p w14:paraId="53DBB74D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2F13EEC6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Nie jest wymagane opisanie zasady komplementarności w części III 3 oferty.</w:t>
      </w:r>
    </w:p>
    <w:p w14:paraId="2ABBE7B1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 xml:space="preserve">Zlecenie realizacji zadań publicznych odbywać się będzie w formie wspierania wykonania zadania publicznego. Pozostałe koszty realizacji zadania będą finansowane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br/>
        <w:t xml:space="preserve">z pozyskiwanych przez wykonawców środków własnych finansowych, niefinansowych oraz świadczeń pieniężnych od uczestników zadania. </w:t>
      </w:r>
    </w:p>
    <w:p w14:paraId="05B428E7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6B91D0D9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Złożenie oferty nie jest równoznaczne z zapewnieniem przyznania dotacji lub przyznaniem dotacji w oczekiwanej wysokości. </w:t>
      </w:r>
    </w:p>
    <w:p w14:paraId="5406181B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Dofinansowanie realizacji zadania nie może przekroczyć 95% jego kosztów, przy czym:</w:t>
      </w:r>
    </w:p>
    <w:p w14:paraId="08D7A6A5" w14:textId="77777777" w:rsidR="00F63A89" w:rsidRPr="00F63A89" w:rsidRDefault="00F63A89" w:rsidP="00F63A89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wkład może mieć formę wkładu finansowego i/lub niefinansowego:</w:t>
      </w:r>
    </w:p>
    <w:p w14:paraId="5420AB75" w14:textId="77777777" w:rsidR="00F63A89" w:rsidRPr="00F63A89" w:rsidRDefault="00F63A89" w:rsidP="00F63A89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wkład finansowy stanowią środki finansowe własne organizacji pozarządowej lub pozyskane przez nią ze źródeł innych niż budżet Miasta i Gminy Gołańcz, </w:t>
      </w:r>
    </w:p>
    <w:p w14:paraId="045E8518" w14:textId="77777777" w:rsidR="00F63A89" w:rsidRPr="00F63A89" w:rsidRDefault="00F63A89" w:rsidP="00F63A89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zadania;</w:t>
      </w:r>
    </w:p>
    <w:p w14:paraId="3924982D" w14:textId="77777777" w:rsidR="00F63A89" w:rsidRPr="00F63A89" w:rsidRDefault="00F63A89" w:rsidP="00F63A89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4BEEC180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21822C76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W trakcie realizacji zadania można dokonywać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 trakcie realizacji zadania można dokonywać zmian w zakresie przyjętych rezultatów zadania publicznego. Zmiany powyżej 20 % poszczególnych założonych rezultatów wymagają zgody Burmistrza Miasta i Gminy Gołańcz oraz nie wymagają aneksu do umowy.</w:t>
      </w:r>
    </w:p>
    <w:p w14:paraId="19F05FFE" w14:textId="77777777" w:rsidR="00F63A89" w:rsidRPr="00F63A89" w:rsidRDefault="00F63A89" w:rsidP="00F63A89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Zadanie uznaje się za zrealizowane, jeżeli osiągnięty zostanie poziom 80 % rezultatów.</w:t>
      </w:r>
    </w:p>
    <w:p w14:paraId="359F64CC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3EEAB190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11. Ostateczną decyzję o wyborze ofert i o wysokości dotacji podejmie Burmistrz Miasta i Gminy Gołańcz. </w:t>
      </w:r>
    </w:p>
    <w:p w14:paraId="4CAAB7C8" w14:textId="77777777" w:rsidR="00F63A89" w:rsidRPr="00F63A89" w:rsidRDefault="00F63A89" w:rsidP="00F63A89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lastRenderedPageBreak/>
        <w:t xml:space="preserve">12. Środki z dotacji nie mogą być wykorzystane na: </w:t>
      </w:r>
    </w:p>
    <w:p w14:paraId="4C593EA9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1) realizację zadań finansowanych z budżetu miasta i gminy Gołańcz z innego tytułu, </w:t>
      </w:r>
    </w:p>
    <w:p w14:paraId="16C5AC6B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2) zakup nieruchomości, </w:t>
      </w:r>
    </w:p>
    <w:p w14:paraId="3874423D" w14:textId="77777777" w:rsidR="00F63A89" w:rsidRPr="00F63A89" w:rsidRDefault="00F63A89" w:rsidP="00F63A89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3) finansowanie kosztów działalności gospodarczej podmiotów prowadzących działalność  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pożytku publicznego, </w:t>
      </w:r>
    </w:p>
    <w:p w14:paraId="5F1DEEEE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4) działalność polityczną lub religijną, </w:t>
      </w:r>
    </w:p>
    <w:p w14:paraId="1A641953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5) zadania dyskryminujące jakiekolwiek osoby lub grupy, </w:t>
      </w:r>
    </w:p>
    <w:p w14:paraId="0D2C381B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6) płatności wynikające ze strat i długów oraz opłat, prowizji i odsetek bankowych, </w:t>
      </w:r>
    </w:p>
    <w:p w14:paraId="74712B10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7) nagrody i premie szkoleniowców i pracowników, </w:t>
      </w:r>
    </w:p>
    <w:p w14:paraId="348DFB0D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ab/>
        <w:t xml:space="preserve">8) nagrody finansowe w zawodach i imprezach sportowych. </w:t>
      </w:r>
    </w:p>
    <w:p w14:paraId="45E4ED7A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13. Wypłata dotacji nastąpi na zasadach zawartych w stosownej umowie. </w:t>
      </w:r>
    </w:p>
    <w:p w14:paraId="7A772D4B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14. Dotacje będą udzielane na zadania realizowane w okresie od 01.01.2024 r. do 31.12.2024 r. </w:t>
      </w:r>
    </w:p>
    <w:p w14:paraId="49119D7E" w14:textId="77777777" w:rsidR="00F63A89" w:rsidRPr="00F63A89" w:rsidRDefault="00F63A89" w:rsidP="00F63A89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p w14:paraId="43D3BF5E" w14:textId="77777777" w:rsidR="00F63A89" w:rsidRPr="00F63A89" w:rsidRDefault="00F63A89" w:rsidP="00F63A89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III Terminy i warunki składania ofert:</w:t>
      </w:r>
    </w:p>
    <w:p w14:paraId="2D6155C3" w14:textId="504212EE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Oferty na realizację zadania publicznego podmioty uprawnione składają w terminie do </w:t>
      </w:r>
      <w:r w:rsidR="006365E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02.01.2024</w:t>
      </w: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godz. 15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14:ligatures w14:val="none"/>
        </w:rPr>
        <w:t>00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sekretariacie Urzędu Miasta i Gminy w </w:t>
      </w:r>
      <w:proofErr w:type="spellStart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W przypadku oferty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przesłanej drogą pocztową na adres ul. dr. P. Kowalika 2, 62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noBreakHyphen/>
        <w:t>130 Gołańcz, decyduje data wpływu.</w:t>
      </w:r>
    </w:p>
    <w:p w14:paraId="0A23E0CD" w14:textId="11DD1E43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Oferty należy składać w zamkniętej kopercie z napisem „I</w:t>
      </w:r>
      <w:r w:rsidR="006365E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I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otwarty konkurs ofert na realizację zadań publicznych w 2024 r.” z zaznaczeniem numeru zlecanego zadania. Poza oznaczeniami podanymi powyżej, koperta musi zawierać nazwę i adres (siedzibę) oferenta. </w:t>
      </w:r>
    </w:p>
    <w:p w14:paraId="1D73CC7A" w14:textId="77777777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Organizacje mogą składać tylko jedną ofertę na poszczególny rodzaj zadań wymienionych w pkt. I. </w:t>
      </w:r>
    </w:p>
    <w:p w14:paraId="7E781A0A" w14:textId="77777777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Podmioty, które składają kilka ofert w konkursie zobowiązane są złożyć każdą ofertę w osobnej kopercie opatrzonej właściwym opisem.</w:t>
      </w:r>
    </w:p>
    <w:p w14:paraId="608BFAE6" w14:textId="77777777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Ofertę należy złożyć na druku stanowiącym załącznik nr 1 do Rozporządzenia Przewodniczącego Komitetu do spraw Pożytku Publicznego z dnia 24 października 2018 r.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 xml:space="preserve">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www.bip.golancz.pl</w:t>
      </w:r>
      <w:bookmarkEnd w:id="2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w zakładce konkursy. Druki można pobrać także w Urzędzie Miasta i Gminy Gołańcz (pok. nr 9). Oferta musi zostać wypełniona maszynowo lub komputerowo.</w:t>
      </w:r>
    </w:p>
    <w:p w14:paraId="752540C3" w14:textId="77777777" w:rsidR="00F63A89" w:rsidRPr="00F63A89" w:rsidRDefault="00F63A89" w:rsidP="00F63A89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F63A8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  <w14:ligatures w14:val="none"/>
        </w:rPr>
        <w:t xml:space="preserve">. 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 oferty należy dołączyć:</w:t>
      </w:r>
    </w:p>
    <w:p w14:paraId="313278AB" w14:textId="77777777" w:rsidR="00F63A89" w:rsidRPr="00F63A89" w:rsidRDefault="00F63A89" w:rsidP="00F63A89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aktualny odpis z rejestru (KRS), wyciąg z ewidencji lub inne dokumenty potwierdzające status prawny oferenta,</w:t>
      </w:r>
    </w:p>
    <w:p w14:paraId="784C0D76" w14:textId="77777777" w:rsidR="00F63A89" w:rsidRPr="00F63A89" w:rsidRDefault="00F63A89" w:rsidP="00F63A89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  <w:t>statut potwierdzony za zgodność z oryginałem na każdej stronie, przez osobę uprawnioną do reprezentowania organizacji pozarządowej.</w:t>
      </w:r>
    </w:p>
    <w:p w14:paraId="18AD63CD" w14:textId="77777777" w:rsidR="00F63A89" w:rsidRPr="00F63A89" w:rsidRDefault="00F63A89" w:rsidP="00F63A89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Oferta nie podlega ocenie i zostaje odrzucona z powodu następujących błędów     formalnych:</w:t>
      </w:r>
    </w:p>
    <w:p w14:paraId="4EDA73BB" w14:textId="77777777" w:rsidR="00F63A89" w:rsidRPr="00F63A89" w:rsidRDefault="00F63A89" w:rsidP="00F63A89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 wymaganym terminie,</w:t>
      </w:r>
    </w:p>
    <w:p w14:paraId="2D96B8FB" w14:textId="77777777" w:rsidR="00F63A89" w:rsidRPr="00F63A89" w:rsidRDefault="00F63A89" w:rsidP="00F63A89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złożenie oferty przez podmiot nieuprawniony,</w:t>
      </w:r>
    </w:p>
    <w:p w14:paraId="0A434C2E" w14:textId="77777777" w:rsidR="00F63A89" w:rsidRPr="00F63A89" w:rsidRDefault="00F63A89" w:rsidP="00F63A89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złożenie oferty podpisanej przez osoby nieupoważnione do tego zgodnie z zapisami statutu i aktualnego odpisu z ewidencji lub KRS-u.</w:t>
      </w:r>
    </w:p>
    <w:p w14:paraId="52CE2FC4" w14:textId="77777777" w:rsidR="00F63A89" w:rsidRPr="00F63A89" w:rsidRDefault="00F63A89" w:rsidP="00F63A89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Dopuszcza się możliwość uzupełnienia następujących braków formalnych oferty:</w:t>
      </w:r>
    </w:p>
    <w:p w14:paraId="4B0B4EBD" w14:textId="77777777" w:rsidR="00F63A89" w:rsidRPr="00F63A89" w:rsidRDefault="00F63A89" w:rsidP="00F63A89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poświadczenie kserokopii dokumentów „za zgodność z oryginałem”,</w:t>
      </w:r>
    </w:p>
    <w:p w14:paraId="0BD88F04" w14:textId="77777777" w:rsidR="00F63A89" w:rsidRPr="00F63A89" w:rsidRDefault="00F63A89" w:rsidP="00F63A89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uzupełnienie dokumentów o brakujące podpisy i pieczątki.</w:t>
      </w:r>
    </w:p>
    <w:p w14:paraId="0DF34494" w14:textId="77777777" w:rsidR="00F63A89" w:rsidRPr="00F63A89" w:rsidRDefault="00F63A89" w:rsidP="00F63A89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9. Ogłaszający konkurs nie żąda wskazania danych, o których mowa w części III pkt. 6 oferty „Dodatkowe informacje dotyczące rezultatów realizacji zadania publicznego”.</w:t>
      </w:r>
    </w:p>
    <w:p w14:paraId="489A971D" w14:textId="77777777" w:rsidR="00F63A89" w:rsidRPr="00F63A89" w:rsidRDefault="00F63A89" w:rsidP="00F63A89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DA419F6" w14:textId="77777777" w:rsidR="00F63A89" w:rsidRPr="00F63A89" w:rsidRDefault="00F63A89" w:rsidP="00F63A8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IV Tryb i kryteria stosowane przy dokonywania wyboru oferty:</w:t>
      </w:r>
    </w:p>
    <w:p w14:paraId="4B84D7D2" w14:textId="0B462C94" w:rsidR="00F63A89" w:rsidRPr="00F63A89" w:rsidRDefault="00F63A89" w:rsidP="00F63A8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Konkurs ofert zostanie rozstrzygnięty do </w:t>
      </w:r>
      <w:r w:rsidR="006365E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>08.01.2024</w:t>
      </w:r>
      <w:r w:rsidRPr="00F63A8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14:ligatures w14:val="none"/>
        </w:rPr>
        <w:t xml:space="preserve"> r</w:t>
      </w: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42586B08" w14:textId="77777777" w:rsidR="00F63A89" w:rsidRPr="00F63A89" w:rsidRDefault="00F63A89" w:rsidP="00F63A8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Wyboru najkorzystniejszych ofert dokona komisja konkursowa powołana przez burmistrza w drodze zarządzenia, kierując się kryteriami określonymi w art. 15 ustawy o dział. pożytku publicznego i o wolontariacie oraz w dziale XI Uchwały nr LVI/455/23 Rady Miasta i Gminy Gołańcz z dnia 26 września 2023 r. w sprawie uchwalenia rocznego programu współpracy z organizacjami pozarządowymi oraz z innymi podmiotami, prowadzącymi działalność pożytku publicznego na 2024 rok.</w:t>
      </w:r>
    </w:p>
    <w:p w14:paraId="550EE048" w14:textId="77777777" w:rsidR="00F63A89" w:rsidRPr="00F63A89" w:rsidRDefault="00F63A89" w:rsidP="00F63A89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br w:type="page"/>
      </w:r>
    </w:p>
    <w:p w14:paraId="36BF03D9" w14:textId="77777777" w:rsidR="00F63A89" w:rsidRPr="00F63A89" w:rsidRDefault="00F63A89" w:rsidP="00F63A89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F63A89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 xml:space="preserve"> </w:t>
      </w:r>
      <w:r w:rsidRPr="00F63A8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Kryteria merytoryczne (zakres punktów: 0-3):</w:t>
      </w:r>
    </w:p>
    <w:p w14:paraId="59035F91" w14:textId="77777777" w:rsidR="00F63A89" w:rsidRPr="00F63A89" w:rsidRDefault="00F63A89" w:rsidP="00F63A8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F63A89" w:rsidRPr="00F63A89" w14:paraId="6597EF9E" w14:textId="77777777" w:rsidTr="005F456C">
        <w:trPr>
          <w:jc w:val="center"/>
        </w:trPr>
        <w:tc>
          <w:tcPr>
            <w:tcW w:w="562" w:type="dxa"/>
            <w:vAlign w:val="center"/>
          </w:tcPr>
          <w:p w14:paraId="71761F4E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5B9BE72C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7007C4C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38AD2602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F63A89" w:rsidRPr="00F63A89" w14:paraId="71F1C9B8" w14:textId="77777777" w:rsidTr="005F456C">
        <w:trPr>
          <w:jc w:val="center"/>
        </w:trPr>
        <w:tc>
          <w:tcPr>
            <w:tcW w:w="562" w:type="dxa"/>
            <w:vAlign w:val="center"/>
          </w:tcPr>
          <w:p w14:paraId="10D078E3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28BA52F1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0F0C9D0E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A89" w:rsidRPr="00F63A89" w14:paraId="566BAD1C" w14:textId="77777777" w:rsidTr="005F456C">
        <w:trPr>
          <w:jc w:val="center"/>
        </w:trPr>
        <w:tc>
          <w:tcPr>
            <w:tcW w:w="562" w:type="dxa"/>
            <w:vAlign w:val="center"/>
          </w:tcPr>
          <w:p w14:paraId="63D49B6A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6E5B3036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3B556760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A89" w:rsidRPr="00F63A89" w14:paraId="56524E8A" w14:textId="77777777" w:rsidTr="005F456C">
        <w:trPr>
          <w:jc w:val="center"/>
        </w:trPr>
        <w:tc>
          <w:tcPr>
            <w:tcW w:w="562" w:type="dxa"/>
            <w:vAlign w:val="center"/>
          </w:tcPr>
          <w:p w14:paraId="7BDCDFD6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63841EAF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5E9A08D9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A89" w:rsidRPr="00F63A89" w14:paraId="37678ADD" w14:textId="77777777" w:rsidTr="005F456C">
        <w:trPr>
          <w:jc w:val="center"/>
        </w:trPr>
        <w:tc>
          <w:tcPr>
            <w:tcW w:w="562" w:type="dxa"/>
            <w:vAlign w:val="center"/>
          </w:tcPr>
          <w:p w14:paraId="2E9BD894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2BD07471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770FE23F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A89" w:rsidRPr="00F63A89" w14:paraId="0750975F" w14:textId="77777777" w:rsidTr="005F456C">
        <w:trPr>
          <w:jc w:val="center"/>
        </w:trPr>
        <w:tc>
          <w:tcPr>
            <w:tcW w:w="562" w:type="dxa"/>
            <w:vAlign w:val="center"/>
          </w:tcPr>
          <w:p w14:paraId="1A47236B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36267F43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7DECFA70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A89" w:rsidRPr="00F63A89" w14:paraId="7E6CF47E" w14:textId="77777777" w:rsidTr="005F456C">
        <w:trPr>
          <w:jc w:val="center"/>
        </w:trPr>
        <w:tc>
          <w:tcPr>
            <w:tcW w:w="562" w:type="dxa"/>
            <w:vAlign w:val="center"/>
          </w:tcPr>
          <w:p w14:paraId="39CBD494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5BA70D07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F63A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32ABA886" w14:textId="77777777" w:rsidR="00F63A89" w:rsidRPr="00F63A89" w:rsidRDefault="00F63A89" w:rsidP="00F63A89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4EC817B" w14:textId="77777777" w:rsidR="00F63A89" w:rsidRPr="00F63A89" w:rsidRDefault="00F63A89" w:rsidP="00F63A89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</w:p>
    <w:p w14:paraId="70302153" w14:textId="77777777" w:rsidR="00F63A89" w:rsidRPr="00F63A89" w:rsidRDefault="00F63A89" w:rsidP="00F63A8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Więcej informacji na temat otwartego konkursu ofert można uzyskać w Urzędzie Miasta i Gminy w </w:t>
      </w:r>
      <w:proofErr w:type="spellStart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Gołańczy</w:t>
      </w:r>
      <w:proofErr w:type="spellEnd"/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ul. dr. P. Kowalika 2, pok.9, telefonicznie 67-26-83-316, lub na stronie www.bip.golancz.pl.</w:t>
      </w:r>
    </w:p>
    <w:p w14:paraId="017B5E99" w14:textId="77777777" w:rsidR="00F63A89" w:rsidRPr="00F63A89" w:rsidRDefault="00F63A89" w:rsidP="00F63A8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63A8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 kwestiach nieunormowanych niniejszym zarządzeniem stosuje się właściwe przepisy ustawy z dnia 24 kwietnia 2003 r. o działalności pożytku publicznego i o wolontariacie (Dz.U. z 2023 r., poz. 571).</w:t>
      </w:r>
    </w:p>
    <w:p w14:paraId="74E8C75B" w14:textId="77777777" w:rsidR="00F63A89" w:rsidRPr="00F63A89" w:rsidRDefault="00F63A89" w:rsidP="00F63A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134DB9B" w14:textId="77777777" w:rsidR="00F63A89" w:rsidRPr="00F63A89" w:rsidRDefault="00F63A89" w:rsidP="00F63A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3D99DC2" w14:textId="77777777" w:rsidR="00F63A89" w:rsidRPr="00F63A89" w:rsidRDefault="00F63A89" w:rsidP="00F63A89">
      <w:pPr>
        <w:rPr>
          <w:kern w:val="0"/>
          <w14:ligatures w14:val="none"/>
        </w:rPr>
      </w:pPr>
    </w:p>
    <w:p w14:paraId="4E85C3CA" w14:textId="77777777" w:rsidR="00F63A89" w:rsidRPr="00F63A89" w:rsidRDefault="00F63A89" w:rsidP="00F63A89">
      <w:pPr>
        <w:rPr>
          <w:kern w:val="0"/>
          <w14:ligatures w14:val="none"/>
        </w:rPr>
      </w:pPr>
    </w:p>
    <w:p w14:paraId="7CB4EB94" w14:textId="77777777" w:rsidR="00F63A89" w:rsidRPr="00F63A89" w:rsidRDefault="00F63A89" w:rsidP="00F63A89">
      <w:pPr>
        <w:rPr>
          <w:kern w:val="0"/>
          <w14:ligatures w14:val="none"/>
        </w:rPr>
      </w:pPr>
    </w:p>
    <w:p w14:paraId="43BE8CBE" w14:textId="77777777" w:rsidR="00F63A89" w:rsidRPr="00F63A89" w:rsidRDefault="00F63A89" w:rsidP="00F63A89">
      <w:pPr>
        <w:rPr>
          <w:kern w:val="0"/>
          <w14:ligatures w14:val="none"/>
        </w:rPr>
      </w:pPr>
    </w:p>
    <w:p w14:paraId="002A3828" w14:textId="77777777" w:rsidR="00F63A89" w:rsidRPr="00F63A89" w:rsidRDefault="00F63A89" w:rsidP="00F63A89">
      <w:pPr>
        <w:rPr>
          <w:kern w:val="0"/>
          <w14:ligatures w14:val="none"/>
        </w:rPr>
      </w:pPr>
    </w:p>
    <w:p w14:paraId="3908DB93" w14:textId="77777777" w:rsidR="00CD2FED" w:rsidRDefault="00CD2FED"/>
    <w:sectPr w:rsidR="00CD2FED" w:rsidSect="000B6D5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290"/>
      <w:docPartObj>
        <w:docPartGallery w:val="Page Numbers (Bottom of Page)"/>
        <w:docPartUnique/>
      </w:docPartObj>
    </w:sdtPr>
    <w:sdtContent>
      <w:p w14:paraId="6EB915EB" w14:textId="77777777" w:rsidR="00000000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8ACBD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DA026B"/>
    <w:multiLevelType w:val="multilevel"/>
    <w:tmpl w:val="4D064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2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10"/>
  </w:num>
  <w:num w:numId="7" w16cid:durableId="1503273106">
    <w:abstractNumId w:val="9"/>
  </w:num>
  <w:num w:numId="8" w16cid:durableId="907888567">
    <w:abstractNumId w:val="6"/>
  </w:num>
  <w:num w:numId="9" w16cid:durableId="103812981">
    <w:abstractNumId w:val="1"/>
  </w:num>
  <w:num w:numId="10" w16cid:durableId="769274936">
    <w:abstractNumId w:val="2"/>
  </w:num>
  <w:num w:numId="11" w16cid:durableId="217133404">
    <w:abstractNumId w:val="3"/>
  </w:num>
  <w:num w:numId="12" w16cid:durableId="1237208463">
    <w:abstractNumId w:val="8"/>
  </w:num>
  <w:num w:numId="13" w16cid:durableId="1132139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89"/>
    <w:rsid w:val="006365E1"/>
    <w:rsid w:val="007F00C8"/>
    <w:rsid w:val="00AA62F3"/>
    <w:rsid w:val="00CD2FED"/>
    <w:rsid w:val="00EB5343"/>
    <w:rsid w:val="00F6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8ACF"/>
  <w15:chartTrackingRefBased/>
  <w15:docId w15:val="{EA427CE6-36C8-44BD-B598-3121B3E9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63A8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3A89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F63A8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63A8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F63A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2100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2023-12-11T08:41:00Z</cp:lastPrinted>
  <dcterms:created xsi:type="dcterms:W3CDTF">2023-12-11T08:11:00Z</dcterms:created>
  <dcterms:modified xsi:type="dcterms:W3CDTF">2023-12-11T13:28:00Z</dcterms:modified>
</cp:coreProperties>
</file>