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88" w:rsidRPr="000A3F88" w:rsidRDefault="000A3F88" w:rsidP="000A3F88">
      <w:pPr>
        <w:keepNext/>
        <w:autoSpaceDE w:val="0"/>
        <w:autoSpaceDN w:val="0"/>
        <w:adjustRightInd w:val="0"/>
        <w:spacing w:after="480" w:line="240" w:lineRule="auto"/>
        <w:jc w:val="center"/>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b/>
          <w:bCs/>
          <w:color w:val="000000"/>
          <w:shd w:val="clear" w:color="auto" w:fill="FFFFFF"/>
          <w:lang w:eastAsia="pl-PL"/>
        </w:rPr>
        <w:t>Wykaz nieruchomości przeznaczonych do sprzedaży</w:t>
      </w:r>
    </w:p>
    <w:p w:rsidR="000A3F88" w:rsidRPr="000A3F88" w:rsidRDefault="000A3F88" w:rsidP="00F516B4">
      <w:pPr>
        <w:keepNext/>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 xml:space="preserve">Wójt Gminy Pozezdrze działając na podstawie art. 35 ust. 1 i 2 ustawy z dnia 21 sierpnia 1997 r. o gospodarce nieruchomościami (tj. Dz. U z 2020 r. poz. 65) ogłasza co następuje: </w:t>
      </w:r>
    </w:p>
    <w:p w:rsidR="000A3F88" w:rsidRPr="000A3F88" w:rsidRDefault="000A3F88" w:rsidP="00F516B4">
      <w:pPr>
        <w:keepNext/>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Z zasobu nieruchomości Gminy Pozezdrze przeznaczona została do sprzedaży niżej wymieniona niezabudowana nieruchomość gruntowa stanowiąca własność Gminy Pozezdrze, położona w obrębie geodezyjnym Pozezdrze gm. Pozezdrze, pow. węgorzewski, woj. warmińsko - mazurskie:</w:t>
      </w:r>
    </w:p>
    <w:tbl>
      <w:tblPr>
        <w:tblStyle w:val="Tabela-Prosty1"/>
        <w:tblW w:w="0" w:type="auto"/>
        <w:tblInd w:w="-113" w:type="dxa"/>
        <w:tblLayout w:type="fixed"/>
        <w:tblCellMar>
          <w:left w:w="108" w:type="dxa"/>
          <w:right w:w="108" w:type="dxa"/>
        </w:tblCellMar>
        <w:tblLook w:val="0000" w:firstRow="0" w:lastRow="0" w:firstColumn="0" w:lastColumn="0" w:noHBand="0" w:noVBand="0"/>
      </w:tblPr>
      <w:tblGrid>
        <w:gridCol w:w="1350"/>
        <w:gridCol w:w="1320"/>
        <w:gridCol w:w="1425"/>
        <w:gridCol w:w="1380"/>
        <w:gridCol w:w="2715"/>
        <w:gridCol w:w="2220"/>
      </w:tblGrid>
      <w:tr w:rsidR="000A3F88" w:rsidRPr="000A3F88">
        <w:trPr>
          <w:trHeight w:val="1365"/>
        </w:trPr>
        <w:tc>
          <w:tcPr>
            <w:tcW w:w="1350" w:type="dxa"/>
            <w:tcMar>
              <w:top w:w="0" w:type="dxa"/>
              <w:left w:w="108" w:type="dxa"/>
              <w:bottom w:w="0" w:type="dxa"/>
              <w:right w:w="108" w:type="dxa"/>
            </w:tcMar>
          </w:tcPr>
          <w:p w:rsidR="000A3F88" w:rsidRPr="000A3F88" w:rsidRDefault="000A3F88" w:rsidP="000A3F88">
            <w:pPr>
              <w:keepNext/>
              <w:spacing w:after="480"/>
              <w:jc w:val="center"/>
              <w:rPr>
                <w:b/>
                <w:bCs/>
                <w:sz w:val="18"/>
                <w:szCs w:val="18"/>
              </w:rPr>
            </w:pPr>
            <w:r w:rsidRPr="000A3F88">
              <w:rPr>
                <w:b/>
                <w:bCs/>
                <w:sz w:val="18"/>
                <w:szCs w:val="18"/>
              </w:rPr>
              <w:t>Oznaczenie nieruchomości wg katastru nieruchomości</w:t>
            </w:r>
          </w:p>
        </w:tc>
        <w:tc>
          <w:tcPr>
            <w:tcW w:w="1320" w:type="dxa"/>
            <w:tcMar>
              <w:top w:w="0" w:type="dxa"/>
              <w:left w:w="108" w:type="dxa"/>
              <w:bottom w:w="0" w:type="dxa"/>
              <w:right w:w="108" w:type="dxa"/>
            </w:tcMar>
          </w:tcPr>
          <w:p w:rsidR="000A3F88" w:rsidRPr="000A3F88" w:rsidRDefault="000A3F88" w:rsidP="000A3F88">
            <w:pPr>
              <w:keepNext/>
              <w:spacing w:after="480"/>
              <w:jc w:val="center"/>
              <w:rPr>
                <w:b/>
                <w:bCs/>
                <w:sz w:val="18"/>
                <w:szCs w:val="18"/>
              </w:rPr>
            </w:pPr>
            <w:r w:rsidRPr="000A3F88">
              <w:rPr>
                <w:b/>
                <w:bCs/>
                <w:sz w:val="18"/>
                <w:szCs w:val="18"/>
              </w:rPr>
              <w:t xml:space="preserve">Pow. nieruchomości </w:t>
            </w:r>
          </w:p>
          <w:p w:rsidR="000A3F88" w:rsidRPr="000A3F88" w:rsidRDefault="000A3F88" w:rsidP="000A3F88">
            <w:pPr>
              <w:keepNext/>
              <w:spacing w:after="480"/>
              <w:jc w:val="center"/>
              <w:rPr>
                <w:b/>
                <w:bCs/>
                <w:sz w:val="18"/>
                <w:szCs w:val="18"/>
              </w:rPr>
            </w:pPr>
            <w:r w:rsidRPr="000A3F88">
              <w:rPr>
                <w:b/>
                <w:bCs/>
                <w:sz w:val="18"/>
                <w:szCs w:val="18"/>
              </w:rPr>
              <w:t xml:space="preserve">(ha) </w:t>
            </w:r>
          </w:p>
        </w:tc>
        <w:tc>
          <w:tcPr>
            <w:tcW w:w="1425" w:type="dxa"/>
            <w:tcMar>
              <w:top w:w="0" w:type="dxa"/>
              <w:left w:w="108" w:type="dxa"/>
              <w:bottom w:w="0" w:type="dxa"/>
              <w:right w:w="108" w:type="dxa"/>
            </w:tcMar>
          </w:tcPr>
          <w:p w:rsidR="000A3F88" w:rsidRPr="000A3F88" w:rsidRDefault="000A3F88" w:rsidP="000A3F88">
            <w:pPr>
              <w:keepNext/>
              <w:spacing w:after="80"/>
              <w:jc w:val="center"/>
              <w:rPr>
                <w:b/>
                <w:bCs/>
                <w:sz w:val="18"/>
                <w:szCs w:val="18"/>
              </w:rPr>
            </w:pPr>
            <w:r w:rsidRPr="000A3F88">
              <w:rPr>
                <w:b/>
                <w:bCs/>
                <w:sz w:val="18"/>
                <w:szCs w:val="18"/>
              </w:rPr>
              <w:t>Cena nieruchomości netto</w:t>
            </w:r>
          </w:p>
          <w:p w:rsidR="000A3F88" w:rsidRPr="000A3F88" w:rsidRDefault="000A3F88" w:rsidP="000A3F88">
            <w:pPr>
              <w:keepNext/>
              <w:spacing w:after="80"/>
              <w:jc w:val="center"/>
              <w:rPr>
                <w:b/>
                <w:bCs/>
                <w:sz w:val="18"/>
                <w:szCs w:val="18"/>
              </w:rPr>
            </w:pPr>
            <w:r w:rsidRPr="000A3F88">
              <w:rPr>
                <w:b/>
                <w:bCs/>
                <w:sz w:val="18"/>
                <w:szCs w:val="18"/>
              </w:rPr>
              <w:t>(zł.)</w:t>
            </w:r>
          </w:p>
        </w:tc>
        <w:tc>
          <w:tcPr>
            <w:tcW w:w="1380" w:type="dxa"/>
            <w:tcMar>
              <w:top w:w="0" w:type="dxa"/>
              <w:left w:w="108" w:type="dxa"/>
              <w:bottom w:w="0" w:type="dxa"/>
              <w:right w:w="108" w:type="dxa"/>
            </w:tcMar>
          </w:tcPr>
          <w:p w:rsidR="000A3F88" w:rsidRPr="000A3F88" w:rsidRDefault="000A3F88" w:rsidP="000A3F88">
            <w:pPr>
              <w:keepNext/>
              <w:spacing w:after="480"/>
              <w:jc w:val="center"/>
              <w:rPr>
                <w:b/>
                <w:bCs/>
                <w:sz w:val="18"/>
                <w:szCs w:val="18"/>
              </w:rPr>
            </w:pPr>
            <w:r w:rsidRPr="000A3F88">
              <w:rPr>
                <w:b/>
                <w:bCs/>
                <w:sz w:val="18"/>
                <w:szCs w:val="18"/>
              </w:rPr>
              <w:t>Oznaczenie w KW</w:t>
            </w:r>
          </w:p>
        </w:tc>
        <w:tc>
          <w:tcPr>
            <w:tcW w:w="2715" w:type="dxa"/>
            <w:tcMar>
              <w:top w:w="0" w:type="dxa"/>
              <w:left w:w="108" w:type="dxa"/>
              <w:bottom w:w="0" w:type="dxa"/>
              <w:right w:w="108" w:type="dxa"/>
            </w:tcMar>
          </w:tcPr>
          <w:p w:rsidR="000A3F88" w:rsidRPr="000A3F88" w:rsidRDefault="000A3F88" w:rsidP="000A3F88">
            <w:pPr>
              <w:keepNext/>
              <w:spacing w:after="480"/>
              <w:jc w:val="center"/>
              <w:rPr>
                <w:b/>
                <w:bCs/>
                <w:sz w:val="18"/>
                <w:szCs w:val="18"/>
              </w:rPr>
            </w:pPr>
            <w:r w:rsidRPr="000A3F88">
              <w:rPr>
                <w:b/>
                <w:bCs/>
                <w:sz w:val="18"/>
                <w:szCs w:val="18"/>
              </w:rPr>
              <w:t xml:space="preserve">Przeznaczenie nieruchomości i sposób jej zagospodarowania </w:t>
            </w:r>
          </w:p>
        </w:tc>
        <w:tc>
          <w:tcPr>
            <w:tcW w:w="2220" w:type="dxa"/>
            <w:tcMar>
              <w:top w:w="0" w:type="dxa"/>
              <w:left w:w="108" w:type="dxa"/>
              <w:bottom w:w="0" w:type="dxa"/>
              <w:right w:w="108" w:type="dxa"/>
            </w:tcMar>
          </w:tcPr>
          <w:p w:rsidR="000A3F88" w:rsidRPr="000A3F88" w:rsidRDefault="000A3F88" w:rsidP="000A3F88">
            <w:pPr>
              <w:keepNext/>
              <w:spacing w:after="480"/>
              <w:jc w:val="center"/>
              <w:rPr>
                <w:b/>
                <w:bCs/>
                <w:sz w:val="18"/>
                <w:szCs w:val="18"/>
              </w:rPr>
            </w:pPr>
            <w:r w:rsidRPr="000A3F88">
              <w:rPr>
                <w:b/>
                <w:bCs/>
                <w:sz w:val="18"/>
                <w:szCs w:val="18"/>
              </w:rPr>
              <w:t>Opis nieruchomości</w:t>
            </w:r>
          </w:p>
        </w:tc>
      </w:tr>
      <w:tr w:rsidR="000A3F88" w:rsidRPr="000A3F88">
        <w:tc>
          <w:tcPr>
            <w:tcW w:w="1350" w:type="dxa"/>
            <w:tcMar>
              <w:top w:w="0" w:type="dxa"/>
              <w:left w:w="108" w:type="dxa"/>
              <w:bottom w:w="0" w:type="dxa"/>
              <w:right w:w="108" w:type="dxa"/>
            </w:tcMar>
          </w:tcPr>
          <w:p w:rsidR="000A3F88" w:rsidRPr="000A3F88" w:rsidRDefault="000A3F88" w:rsidP="003C6013">
            <w:pPr>
              <w:keepNext/>
              <w:jc w:val="center"/>
              <w:rPr>
                <w:b/>
                <w:bCs/>
                <w:sz w:val="20"/>
                <w:szCs w:val="20"/>
              </w:rPr>
            </w:pPr>
            <w:r w:rsidRPr="000A3F88">
              <w:rPr>
                <w:b/>
                <w:bCs/>
                <w:sz w:val="20"/>
                <w:szCs w:val="20"/>
              </w:rPr>
              <w:t>Obręb 9</w:t>
            </w:r>
          </w:p>
          <w:p w:rsidR="000A3F88" w:rsidRPr="000A3F88" w:rsidRDefault="000A3F88" w:rsidP="003C6013">
            <w:pPr>
              <w:keepNext/>
              <w:jc w:val="center"/>
              <w:rPr>
                <w:b/>
                <w:bCs/>
                <w:sz w:val="20"/>
                <w:szCs w:val="20"/>
              </w:rPr>
            </w:pPr>
            <w:r w:rsidRPr="000A3F88">
              <w:rPr>
                <w:b/>
                <w:bCs/>
                <w:sz w:val="20"/>
                <w:szCs w:val="20"/>
              </w:rPr>
              <w:t>Pozezdrze</w:t>
            </w:r>
          </w:p>
          <w:p w:rsidR="000A3F88" w:rsidRPr="000A3F88" w:rsidRDefault="000A3F88" w:rsidP="003C6013">
            <w:pPr>
              <w:keepNext/>
              <w:jc w:val="center"/>
              <w:rPr>
                <w:b/>
                <w:bCs/>
                <w:sz w:val="20"/>
                <w:szCs w:val="20"/>
              </w:rPr>
            </w:pPr>
            <w:r w:rsidRPr="000A3F88">
              <w:rPr>
                <w:b/>
                <w:bCs/>
                <w:sz w:val="20"/>
                <w:szCs w:val="20"/>
              </w:rPr>
              <w:t xml:space="preserve">działka </w:t>
            </w:r>
          </w:p>
          <w:p w:rsidR="000A3F88" w:rsidRPr="000A3F88" w:rsidRDefault="000A3F88" w:rsidP="003C6013">
            <w:pPr>
              <w:keepNext/>
              <w:jc w:val="center"/>
              <w:rPr>
                <w:b/>
                <w:bCs/>
                <w:sz w:val="20"/>
                <w:szCs w:val="20"/>
              </w:rPr>
            </w:pPr>
            <w:r w:rsidRPr="000A3F88">
              <w:rPr>
                <w:b/>
                <w:bCs/>
                <w:sz w:val="20"/>
                <w:szCs w:val="20"/>
              </w:rPr>
              <w:t>Nr geod.</w:t>
            </w:r>
          </w:p>
          <w:p w:rsidR="000A3F88" w:rsidRPr="000A3F88" w:rsidRDefault="000A3F88" w:rsidP="003C6013">
            <w:pPr>
              <w:keepNext/>
              <w:jc w:val="center"/>
              <w:rPr>
                <w:b/>
                <w:bCs/>
                <w:sz w:val="20"/>
                <w:szCs w:val="20"/>
              </w:rPr>
            </w:pPr>
            <w:r w:rsidRPr="000A3F88">
              <w:rPr>
                <w:b/>
                <w:bCs/>
                <w:sz w:val="20"/>
                <w:szCs w:val="20"/>
              </w:rPr>
              <w:t>359/1</w:t>
            </w:r>
          </w:p>
        </w:tc>
        <w:tc>
          <w:tcPr>
            <w:tcW w:w="1320" w:type="dxa"/>
            <w:tcMar>
              <w:top w:w="0" w:type="dxa"/>
              <w:left w:w="108" w:type="dxa"/>
              <w:bottom w:w="0" w:type="dxa"/>
              <w:right w:w="108" w:type="dxa"/>
            </w:tcMar>
          </w:tcPr>
          <w:p w:rsidR="000A3F88" w:rsidRPr="000A3F88" w:rsidRDefault="000A3F88" w:rsidP="000A3F88">
            <w:pPr>
              <w:keepNext/>
              <w:spacing w:after="480"/>
              <w:jc w:val="center"/>
              <w:rPr>
                <w:sz w:val="20"/>
                <w:szCs w:val="20"/>
              </w:rPr>
            </w:pPr>
            <w:r w:rsidRPr="000A3F88">
              <w:rPr>
                <w:sz w:val="20"/>
                <w:szCs w:val="20"/>
              </w:rPr>
              <w:t>2,3918</w:t>
            </w:r>
          </w:p>
        </w:tc>
        <w:tc>
          <w:tcPr>
            <w:tcW w:w="1425" w:type="dxa"/>
            <w:tcMar>
              <w:top w:w="0" w:type="dxa"/>
              <w:left w:w="108" w:type="dxa"/>
              <w:bottom w:w="0" w:type="dxa"/>
              <w:right w:w="108" w:type="dxa"/>
            </w:tcMar>
          </w:tcPr>
          <w:p w:rsidR="000A3F88" w:rsidRPr="000A3F88" w:rsidRDefault="000A3F88" w:rsidP="000A3F88">
            <w:pPr>
              <w:keepNext/>
              <w:spacing w:after="480"/>
              <w:jc w:val="center"/>
              <w:rPr>
                <w:b/>
                <w:bCs/>
                <w:sz w:val="20"/>
                <w:szCs w:val="20"/>
              </w:rPr>
            </w:pPr>
            <w:r w:rsidRPr="000A3F88">
              <w:rPr>
                <w:b/>
                <w:bCs/>
                <w:sz w:val="20"/>
                <w:szCs w:val="20"/>
              </w:rPr>
              <w:t>80.000,00</w:t>
            </w:r>
          </w:p>
          <w:p w:rsidR="000A3F88" w:rsidRPr="000A3F88" w:rsidRDefault="000A3F88" w:rsidP="000A3F88">
            <w:pPr>
              <w:keepNext/>
              <w:spacing w:after="480"/>
              <w:jc w:val="center"/>
              <w:rPr>
                <w:sz w:val="18"/>
                <w:szCs w:val="18"/>
              </w:rPr>
            </w:pPr>
            <w:r w:rsidRPr="000A3F88">
              <w:rPr>
                <w:sz w:val="20"/>
                <w:szCs w:val="20"/>
              </w:rPr>
              <w:t>(osiemdziesiąt tysięcy zł.)</w:t>
            </w:r>
          </w:p>
        </w:tc>
        <w:tc>
          <w:tcPr>
            <w:tcW w:w="1380" w:type="dxa"/>
            <w:tcMar>
              <w:top w:w="0" w:type="dxa"/>
              <w:left w:w="108" w:type="dxa"/>
              <w:bottom w:w="0" w:type="dxa"/>
              <w:right w:w="108" w:type="dxa"/>
            </w:tcMar>
          </w:tcPr>
          <w:p w:rsidR="000A3F88" w:rsidRPr="000A3F88" w:rsidRDefault="000A3F88" w:rsidP="000A3F88">
            <w:pPr>
              <w:keepNext/>
              <w:spacing w:after="480"/>
              <w:jc w:val="center"/>
              <w:rPr>
                <w:sz w:val="20"/>
                <w:szCs w:val="20"/>
              </w:rPr>
            </w:pPr>
            <w:r w:rsidRPr="000A3F88">
              <w:rPr>
                <w:sz w:val="20"/>
                <w:szCs w:val="20"/>
              </w:rPr>
              <w:t>KW. nr OL2G/00014507/7 prowadzonej przez Sąd Rejonowy w Giżycku VII Zamiejscowy Wydział KW w Węgorzewie</w:t>
            </w:r>
          </w:p>
        </w:tc>
        <w:tc>
          <w:tcPr>
            <w:tcW w:w="2715" w:type="dxa"/>
            <w:tcMar>
              <w:top w:w="0" w:type="dxa"/>
              <w:left w:w="108" w:type="dxa"/>
              <w:bottom w:w="0" w:type="dxa"/>
              <w:right w:w="108" w:type="dxa"/>
            </w:tcMar>
          </w:tcPr>
          <w:p w:rsidR="000A3F88" w:rsidRPr="000A3F88" w:rsidRDefault="000A3F88" w:rsidP="000A3F88">
            <w:pPr>
              <w:jc w:val="center"/>
              <w:rPr>
                <w:sz w:val="20"/>
                <w:szCs w:val="20"/>
              </w:rPr>
            </w:pPr>
            <w:r w:rsidRPr="000A3F88">
              <w:rPr>
                <w:sz w:val="20"/>
                <w:szCs w:val="20"/>
              </w:rPr>
              <w:t>Przedmiotowa nieruchomość położona jest na terenie nie objętym Miejscowym Planem Zagospodarowania Przestrzennego. Nie była wydana decyzja o warunkach zabudowy i zagospodarowania terenu. W studium uwarunkowań i kierunków zagospodarowania przestrzennego Gminy uchwalonym przez Radę Gminy w Pozezdrzu Uchwała Nr XII/60/99 z dnia 27 sierpnia 1999 r. działka położona jest na obszarze jednostki strukturalnej  "O" - teren związany z ośrodkiem obsługi gminy - wsią Pozezdrze i terenów do niej przyległych poza wyznaczonymi  kierunkami rozwoju przestrzennego.</w:t>
            </w:r>
          </w:p>
          <w:p w:rsidR="000A3F88" w:rsidRPr="000A3F88" w:rsidRDefault="000A3F88" w:rsidP="000A3F88">
            <w:pPr>
              <w:keepNext/>
              <w:spacing w:after="480"/>
              <w:jc w:val="center"/>
              <w:rPr>
                <w:sz w:val="20"/>
                <w:szCs w:val="20"/>
              </w:rPr>
            </w:pPr>
            <w:r w:rsidRPr="000A3F88">
              <w:rPr>
                <w:sz w:val="20"/>
                <w:szCs w:val="20"/>
              </w:rPr>
              <w:t xml:space="preserve"> </w:t>
            </w:r>
          </w:p>
        </w:tc>
        <w:tc>
          <w:tcPr>
            <w:tcW w:w="2220" w:type="dxa"/>
            <w:tcMar>
              <w:top w:w="0" w:type="dxa"/>
              <w:left w:w="108" w:type="dxa"/>
              <w:bottom w:w="0" w:type="dxa"/>
              <w:right w:w="108" w:type="dxa"/>
            </w:tcMar>
          </w:tcPr>
          <w:p w:rsidR="000A3F88" w:rsidRPr="000A3F88" w:rsidRDefault="000A3F88" w:rsidP="000A3F88">
            <w:pPr>
              <w:keepNext/>
              <w:spacing w:after="60"/>
              <w:jc w:val="center"/>
              <w:rPr>
                <w:sz w:val="20"/>
                <w:szCs w:val="20"/>
              </w:rPr>
            </w:pPr>
            <w:r w:rsidRPr="000A3F88">
              <w:rPr>
                <w:sz w:val="20"/>
                <w:szCs w:val="20"/>
              </w:rPr>
              <w:t>Działka położona jest w miejscowości  Pozezdrze gm. Pozezdrze  w kierunku miejscowości Kruklanki z prawej strony drogi na przedłużeniu ul Pogodnej za zabudowaniami  w otoczeniu gruntów rolnych i drogi.</w:t>
            </w:r>
          </w:p>
          <w:p w:rsidR="000A3F88" w:rsidRPr="000A3F88" w:rsidRDefault="000A3F88" w:rsidP="000A3F88">
            <w:pPr>
              <w:keepNext/>
              <w:spacing w:after="60"/>
              <w:jc w:val="center"/>
              <w:rPr>
                <w:sz w:val="20"/>
                <w:szCs w:val="20"/>
              </w:rPr>
            </w:pPr>
            <w:r w:rsidRPr="000A3F88">
              <w:rPr>
                <w:sz w:val="20"/>
                <w:szCs w:val="20"/>
              </w:rPr>
              <w:t xml:space="preserve"> Działka  rolna  niezabudowana o kształcie prostokąta  jest uprawniana rolniczo. </w:t>
            </w:r>
          </w:p>
          <w:p w:rsidR="000A3F88" w:rsidRPr="000A3F88" w:rsidRDefault="000A3F88" w:rsidP="000A3F88">
            <w:pPr>
              <w:keepNext/>
              <w:spacing w:after="60"/>
              <w:jc w:val="center"/>
              <w:rPr>
                <w:sz w:val="20"/>
                <w:szCs w:val="20"/>
              </w:rPr>
            </w:pPr>
            <w:r w:rsidRPr="000A3F88">
              <w:rPr>
                <w:sz w:val="20"/>
                <w:szCs w:val="20"/>
              </w:rPr>
              <w:t>Klasy gruntów  rola R klasy V  - 2,3918 ha.</w:t>
            </w:r>
          </w:p>
          <w:p w:rsidR="000A3F88" w:rsidRPr="000A3F88" w:rsidRDefault="000A3F88" w:rsidP="000A3F88">
            <w:pPr>
              <w:keepNext/>
              <w:spacing w:after="60"/>
              <w:jc w:val="center"/>
              <w:rPr>
                <w:sz w:val="20"/>
                <w:szCs w:val="20"/>
              </w:rPr>
            </w:pPr>
            <w:r w:rsidRPr="000A3F88">
              <w:rPr>
                <w:sz w:val="20"/>
                <w:szCs w:val="20"/>
              </w:rPr>
              <w:t>Działka znajduje się w dzierżawie-  umowa dzierżawy obowiązuje do dnia 30.09.2020 r. dla cześć o pow. 1,60 ha  a dla części o pow. 0,7</w:t>
            </w:r>
            <w:r w:rsidR="00DA2CA7">
              <w:rPr>
                <w:sz w:val="20"/>
                <w:szCs w:val="20"/>
              </w:rPr>
              <w:t>9</w:t>
            </w:r>
            <w:r w:rsidRPr="000A3F88">
              <w:rPr>
                <w:sz w:val="20"/>
                <w:szCs w:val="20"/>
              </w:rPr>
              <w:t xml:space="preserve">18 ha do 30.06.2021 ha </w:t>
            </w:r>
          </w:p>
        </w:tc>
      </w:tr>
    </w:tbl>
    <w:p w:rsidR="000A3F88" w:rsidRPr="000A3F88" w:rsidRDefault="000A3F88" w:rsidP="000A3F88">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1. Zgodnie z art. 43 ust. 1 pkt 9 ustawy z dnia 11 marca 2004 r. o podatku od towarów i usług (tj. Dz. U z 2020 r.  poz. 106) sprzedaż nieruchomości jest  zwolniona z podatku VAT.</w:t>
      </w:r>
    </w:p>
    <w:p w:rsidR="00F516B4" w:rsidRDefault="000A3F88" w:rsidP="003C6013">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2. Niniejszy wykaz podaje się do publicznej wiadomości poprzez wywieszenie na okres 21 dni na tablicy ogłoszeń w Urzędzie Gminy w Pozezdrzu przy ul. 1 Maja 1a, 11-610 Pozezdrze, oraz poprzez</w:t>
      </w:r>
    </w:p>
    <w:p w:rsidR="000A3F88" w:rsidRPr="000A3F88" w:rsidRDefault="000A3F88" w:rsidP="003C6013">
      <w:pPr>
        <w:keepNext/>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zamieszczenie  wykazu na stronach internetowych  Urzędu Gminy w Pozezdrzu www.bip.pozezdrze. pl oraz www.pozezdrze.pl</w:t>
      </w:r>
    </w:p>
    <w:p w:rsidR="000A3F88" w:rsidRPr="000A3F88" w:rsidRDefault="000A3F88" w:rsidP="003C6013">
      <w:pPr>
        <w:keepNext/>
        <w:autoSpaceDE w:val="0"/>
        <w:autoSpaceDN w:val="0"/>
        <w:adjustRightInd w:val="0"/>
        <w:spacing w:after="0" w:line="240" w:lineRule="auto"/>
        <w:ind w:firstLine="346"/>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3. Zgodnie z art. 34 ust. 1 pkt 1 i 2 pkt 2 ustawy z dnia 21 sierpnia 1997 r. o gospodarce nieruchomościami  pierwszeństwo w nabyciu w/w nieruchomości, z zastrzeżeniem art. 216a, przysługuje osobie, która spełnia jeden z następujących warunków:</w:t>
      </w:r>
    </w:p>
    <w:p w:rsidR="000A3F88" w:rsidRPr="000A3F88" w:rsidRDefault="000A3F88" w:rsidP="003C6013">
      <w:pPr>
        <w:keepNext/>
        <w:autoSpaceDE w:val="0"/>
        <w:autoSpaceDN w:val="0"/>
        <w:adjustRightInd w:val="0"/>
        <w:spacing w:after="0" w:line="240" w:lineRule="auto"/>
        <w:ind w:left="288" w:hanging="288"/>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1)  przysługuje jej roszczenie o nabycie nieruchomości z mocy niniejszej ustawy lub odrębnych przepisów,</w:t>
      </w:r>
    </w:p>
    <w:p w:rsidR="000A3F88" w:rsidRPr="000A3F88" w:rsidRDefault="000A3F88" w:rsidP="000A3F88">
      <w:pPr>
        <w:keepNext/>
        <w:autoSpaceDE w:val="0"/>
        <w:autoSpaceDN w:val="0"/>
        <w:adjustRightInd w:val="0"/>
        <w:spacing w:after="100" w:line="240" w:lineRule="auto"/>
        <w:ind w:left="288" w:hanging="288"/>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2) jest poprzednim właścicielem zbywanej nieruchomości pozbawionym prawa własności tej nieruchomości przed 5 grudnia 1990 r. albo jego spadkobiercą.</w:t>
      </w:r>
    </w:p>
    <w:p w:rsidR="000A3F88" w:rsidRPr="000A3F88" w:rsidRDefault="000A3F88" w:rsidP="000A3F88">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4. Osoby, o których mowa powyżej, korzystają z pierwszeństwa w nabyciu nieruchomości jeżeli złożą wniosek o nabycie nie</w:t>
      </w:r>
      <w:bookmarkStart w:id="0" w:name="_GoBack"/>
      <w:bookmarkEnd w:id="0"/>
      <w:r w:rsidRPr="000A3F88">
        <w:rPr>
          <w:rFonts w:ascii="Times New Roman" w:eastAsia="Times New Roman" w:hAnsi="Times New Roman" w:cs="Times New Roman"/>
          <w:color w:val="000000"/>
          <w:shd w:val="clear" w:color="auto" w:fill="FFFFFF"/>
          <w:lang w:eastAsia="pl-PL"/>
        </w:rPr>
        <w:t xml:space="preserve">ruchomości w terminie do dnia </w:t>
      </w:r>
      <w:r w:rsidRPr="000A3F88">
        <w:rPr>
          <w:rFonts w:ascii="Times New Roman" w:eastAsia="Times New Roman" w:hAnsi="Times New Roman" w:cs="Times New Roman"/>
          <w:b/>
          <w:bCs/>
          <w:color w:val="000000"/>
          <w:shd w:val="clear" w:color="auto" w:fill="FFFFFF"/>
          <w:lang w:eastAsia="pl-PL"/>
        </w:rPr>
        <w:t>14 kwietnia 2020 r.</w:t>
      </w:r>
      <w:r w:rsidRPr="000A3F88">
        <w:rPr>
          <w:rFonts w:ascii="Times New Roman" w:eastAsia="Times New Roman" w:hAnsi="Times New Roman" w:cs="Times New Roman"/>
          <w:color w:val="000000"/>
          <w:shd w:val="clear" w:color="auto" w:fill="FFFFFF"/>
          <w:lang w:eastAsia="pl-PL"/>
        </w:rPr>
        <w:t xml:space="preserve"> i złożą oświadczenie, </w:t>
      </w:r>
      <w:r w:rsidRPr="000A3F88">
        <w:rPr>
          <w:rFonts w:ascii="Times New Roman" w:eastAsia="Times New Roman" w:hAnsi="Times New Roman" w:cs="Times New Roman"/>
          <w:color w:val="000000"/>
          <w:shd w:val="clear" w:color="auto" w:fill="FFFFFF"/>
          <w:lang w:eastAsia="pl-PL"/>
        </w:rPr>
        <w:lastRenderedPageBreak/>
        <w:t>że wyrażają zgodę na cenę ustaloną w sposób określony w ustawie. W przypadku zbiegu uprawnień do pierwszeństwa w nabyciu, stosuje się kolejność wymienioną powyżej. O ile w/w nieruchomość nie zostanie sprzedana na zasadach określonych wyżej albo co do której przepisy nie mają zastosowania, podlegają sprzedaży w trybie przetargowym.</w:t>
      </w:r>
    </w:p>
    <w:p w:rsidR="000A3F88" w:rsidRPr="000A3F88" w:rsidRDefault="000A3F88" w:rsidP="000A3F88">
      <w:pPr>
        <w:shd w:val="clear" w:color="auto" w:fill="FFFFFF"/>
        <w:tabs>
          <w:tab w:val="left" w:pos="357"/>
        </w:tabs>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shd w:val="clear" w:color="auto" w:fill="FFFFFF"/>
          <w:lang w:eastAsia="pl-PL"/>
        </w:rPr>
        <w:t>5.Zgodnie z przepisami cytowanej wyżej ustawy 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ust. 3 ustawy.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  W przetargu mogą wziąć udział osoby, które spełnią warunki określone definicją rolnika indywidualnego i będą w stanie po wyłonieniu na nabywcę przedłożyć w Kancelarii Notarialnej dokumenty potwierdzające spełnienie warunków do nabycia nieruchomości rolnej, o których mowa  w art. 7 cytowanej wyżej ustawy (między innymi: oświadczenie o osobistym prowadzeniu gospodarstwa rolnego przez okres co najmniej 5 lat poświadczone przez wójta(burmistrza), oświadczenie o łącznej powierzchni użytków rolnych stanowiących własność, użytkowanie wieczyste, będących w samoistnym posiadaniu, dzierżawionych przez rolnika indywidualnego, zaświadczenie o zameldowaniu na pobyt stały). Nabycie przedmiotowych nieruchomości przez inny podmiot niż rolnik indywidualny w rozumieniu ustawy o kształtowaniu ustroju rolnego może nastąpić za zgodą Prezesa Krajowego Ośrodka Wsparcia Rolnictwa (Oddział Terenowy w Olsztynie) wyrażoną w drodze decyzji administracyjnej wydanej na wniosek zbywcy nieruchomości. Krajowemu Ośrodkowi Wsparcia Rolnictwa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rsidR="000A3F88" w:rsidRPr="000A3F88" w:rsidRDefault="000A3F88" w:rsidP="000A3F88">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6.Cudzoziemcy chcący nabyć powyższą nieruchomość powinni spełniać warunki zawarte w ustawie z dnia 24 marca 1920 r. o nabyciu nieruchomości przez cudzoziemców (t.j.</w:t>
      </w:r>
      <w:r w:rsidR="003C6013">
        <w:rPr>
          <w:rFonts w:ascii="Times New Roman" w:eastAsia="Times New Roman" w:hAnsi="Times New Roman" w:cs="Times New Roman"/>
          <w:color w:val="000000"/>
          <w:shd w:val="clear" w:color="auto" w:fill="FFFFFF"/>
          <w:lang w:eastAsia="pl-PL"/>
        </w:rPr>
        <w:t xml:space="preserve"> </w:t>
      </w:r>
      <w:r w:rsidRPr="000A3F88">
        <w:rPr>
          <w:rFonts w:ascii="Times New Roman" w:eastAsia="Times New Roman" w:hAnsi="Times New Roman" w:cs="Times New Roman"/>
          <w:color w:val="000000"/>
          <w:shd w:val="clear" w:color="auto" w:fill="FFFFFF"/>
          <w:lang w:eastAsia="pl-PL"/>
        </w:rPr>
        <w:t>Dz. U. z 2016 r. , poz. 1061).</w:t>
      </w:r>
    </w:p>
    <w:p w:rsidR="000A3F88" w:rsidRPr="000A3F88" w:rsidRDefault="000A3F88" w:rsidP="000A3F88">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r w:rsidRPr="000A3F88">
        <w:rPr>
          <w:rFonts w:ascii="Times New Roman" w:eastAsia="Times New Roman" w:hAnsi="Times New Roman" w:cs="Times New Roman"/>
          <w:color w:val="000000"/>
          <w:shd w:val="clear" w:color="auto" w:fill="FFFFFF"/>
          <w:lang w:eastAsia="pl-PL"/>
        </w:rPr>
        <w:t>7. Szczegółowe informacje można uzyskać w Urzędzie Gminy w Pozezdrzu przy ul. 1 Maja 1a, Referat Rozwoju Gminy i Przedsięwzięć Publicznych  - pokój nr 13 , tel</w:t>
      </w:r>
      <w:r w:rsidR="003C6013">
        <w:rPr>
          <w:rFonts w:ascii="Times New Roman" w:eastAsia="Times New Roman" w:hAnsi="Times New Roman" w:cs="Times New Roman"/>
          <w:color w:val="000000"/>
          <w:shd w:val="clear" w:color="auto" w:fill="FFFFFF"/>
          <w:lang w:eastAsia="pl-PL"/>
        </w:rPr>
        <w:t>.</w:t>
      </w:r>
      <w:r w:rsidRPr="000A3F88">
        <w:rPr>
          <w:rFonts w:ascii="Times New Roman" w:eastAsia="Times New Roman" w:hAnsi="Times New Roman" w:cs="Times New Roman"/>
          <w:color w:val="000000"/>
          <w:shd w:val="clear" w:color="auto" w:fill="FFFFFF"/>
          <w:lang w:eastAsia="pl-PL"/>
        </w:rPr>
        <w:t>: 87 427 90 06 wew. 46.</w:t>
      </w:r>
    </w:p>
    <w:p w:rsidR="000A3F88" w:rsidRPr="000A3F88" w:rsidRDefault="000A3F88" w:rsidP="000A3F88">
      <w:pPr>
        <w:keepNext/>
        <w:autoSpaceDE w:val="0"/>
        <w:autoSpaceDN w:val="0"/>
        <w:adjustRightInd w:val="0"/>
        <w:spacing w:after="100" w:line="240" w:lineRule="auto"/>
        <w:ind w:firstLine="346"/>
        <w:jc w:val="both"/>
        <w:rPr>
          <w:rFonts w:ascii="Times New Roman" w:eastAsia="Times New Roman" w:hAnsi="Times New Roman" w:cs="Times New Roman"/>
          <w:color w:val="000000"/>
          <w:shd w:val="clear" w:color="auto" w:fill="FFFFFF"/>
          <w:lang w:eastAsia="pl-PL"/>
        </w:rPr>
      </w:pPr>
    </w:p>
    <w:tbl>
      <w:tblPr>
        <w:tblStyle w:val="Tabela-Prosty1"/>
        <w:tblW w:w="5000" w:type="pct"/>
        <w:tblInd w:w="-108" w:type="dxa"/>
        <w:tblBorders>
          <w:top w:val="none" w:sz="4" w:space="0" w:color="auto"/>
          <w:left w:val="none" w:sz="4" w:space="0" w:color="auto"/>
          <w:bottom w:val="none" w:sz="4" w:space="0" w:color="auto"/>
          <w:right w:val="none" w:sz="4" w:space="0" w:color="auto"/>
        </w:tblBorders>
        <w:tblCellMar>
          <w:left w:w="108" w:type="dxa"/>
          <w:right w:w="108" w:type="dxa"/>
        </w:tblCellMar>
        <w:tblLook w:val="04A0" w:firstRow="1" w:lastRow="0" w:firstColumn="1" w:lastColumn="0" w:noHBand="0" w:noVBand="1"/>
      </w:tblPr>
      <w:tblGrid>
        <w:gridCol w:w="4536"/>
        <w:gridCol w:w="4536"/>
      </w:tblGrid>
      <w:tr w:rsidR="000A3F88" w:rsidRPr="000A3F88">
        <w:tc>
          <w:tcPr>
            <w:tcW w:w="2500" w:type="pct"/>
            <w:tcBorders>
              <w:top w:val="none" w:sz="4" w:space="0" w:color="auto"/>
              <w:bottom w:val="none" w:sz="4" w:space="0" w:color="auto"/>
              <w:right w:val="none" w:sz="4" w:space="0" w:color="auto"/>
            </w:tcBorders>
            <w:tcMar>
              <w:top w:w="0" w:type="dxa"/>
              <w:left w:w="108" w:type="dxa"/>
              <w:bottom w:w="0" w:type="dxa"/>
              <w:right w:w="108" w:type="dxa"/>
            </w:tcMar>
          </w:tcPr>
          <w:p w:rsidR="000A3F88" w:rsidRPr="000A3F88" w:rsidRDefault="000A3F88" w:rsidP="000A3F88">
            <w:pPr>
              <w:keepNext/>
              <w:spacing w:after="480" w:line="360" w:lineRule="auto"/>
              <w:jc w:val="both"/>
            </w:pPr>
          </w:p>
        </w:tc>
        <w:tc>
          <w:tcPr>
            <w:tcW w:w="2500" w:type="pct"/>
            <w:tcBorders>
              <w:top w:val="none" w:sz="4" w:space="0" w:color="auto"/>
              <w:left w:val="none" w:sz="4" w:space="0" w:color="auto"/>
              <w:bottom w:val="none" w:sz="4" w:space="0" w:color="auto"/>
            </w:tcBorders>
            <w:tcMar>
              <w:top w:w="0" w:type="dxa"/>
              <w:left w:w="108" w:type="dxa"/>
              <w:bottom w:w="0" w:type="dxa"/>
              <w:right w:w="108" w:type="dxa"/>
            </w:tcMar>
          </w:tcPr>
          <w:p w:rsidR="000A3F88" w:rsidRPr="000A3F88" w:rsidRDefault="000A3F88" w:rsidP="000A3F88">
            <w:pPr>
              <w:keepNext/>
              <w:spacing w:after="480" w:line="360" w:lineRule="auto"/>
              <w:jc w:val="center"/>
            </w:pPr>
          </w:p>
        </w:tc>
      </w:tr>
    </w:tbl>
    <w:p w:rsidR="00FC5160" w:rsidRDefault="00FC5160"/>
    <w:sectPr w:rsidR="00FC5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88"/>
    <w:rsid w:val="000A3F88"/>
    <w:rsid w:val="003C6013"/>
    <w:rsid w:val="00DA2CA7"/>
    <w:rsid w:val="00F516B4"/>
    <w:rsid w:val="00FC5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3D7B"/>
  <w15:chartTrackingRefBased/>
  <w15:docId w15:val="{BC0C9C3A-219F-447F-8B9F-56FF4F0F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A3F88"/>
    <w:pPr>
      <w:autoSpaceDE w:val="0"/>
      <w:autoSpaceDN w:val="0"/>
      <w:adjustRightInd w:val="0"/>
      <w:spacing w:after="0" w:line="240" w:lineRule="auto"/>
    </w:pPr>
    <w:rPr>
      <w:rFonts w:ascii="Times New Roman" w:eastAsia="Times New Roman" w:hAnsi="Times New Roman" w:cs="Times New Roman"/>
      <w:color w:val="000000"/>
      <w:sz w:val="24"/>
      <w:szCs w:val="24"/>
      <w:shd w:val="clear" w:color="auto" w:fill="FFFFFF"/>
      <w:lang w:eastAsia="pl-PL"/>
    </w:rPr>
  </w:style>
  <w:style w:type="character" w:styleId="Pogrubienie">
    <w:name w:val="Strong"/>
    <w:basedOn w:val="Domylnaczcionkaakapitu"/>
    <w:uiPriority w:val="99"/>
    <w:qFormat/>
    <w:rsid w:val="000A3F88"/>
    <w:rPr>
      <w:rFonts w:ascii="Times New Roman" w:hAnsi="Times New Roman" w:cs="Times New Roman"/>
      <w:b/>
      <w:bCs/>
    </w:rPr>
  </w:style>
  <w:style w:type="table" w:styleId="Tabela-Prosty1">
    <w:name w:val="Table Simple 1"/>
    <w:basedOn w:val="Standardowy"/>
    <w:uiPriority w:val="99"/>
    <w:rsid w:val="000A3F88"/>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890</Words>
  <Characters>5341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Kopczyński Wojciech</dc:creator>
  <cp:keywords/>
  <dc:description/>
  <cp:lastModifiedBy>Kopczyński Wojciech</cp:lastModifiedBy>
  <cp:revision>4</cp:revision>
  <dcterms:created xsi:type="dcterms:W3CDTF">2020-02-27T06:42:00Z</dcterms:created>
  <dcterms:modified xsi:type="dcterms:W3CDTF">2020-02-27T10:16:00Z</dcterms:modified>
</cp:coreProperties>
</file>