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D4" w:rsidRPr="008127D4" w:rsidRDefault="008127D4" w:rsidP="004F4355">
      <w:pPr>
        <w:keepNext/>
        <w:autoSpaceDE w:val="0"/>
        <w:autoSpaceDN w:val="0"/>
        <w:adjustRightInd w:val="0"/>
        <w:spacing w:after="0" w:line="240" w:lineRule="auto"/>
        <w:jc w:val="center"/>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b/>
          <w:bCs/>
          <w:color w:val="000000"/>
          <w:shd w:val="clear" w:color="auto" w:fill="FFFFFF"/>
          <w:lang w:eastAsia="pl-PL"/>
        </w:rPr>
        <w:t>Wykaz nieruchomości przeznaczonych do sprzedaży</w:t>
      </w:r>
    </w:p>
    <w:p w:rsidR="008127D4" w:rsidRPr="008127D4" w:rsidRDefault="008127D4" w:rsidP="004F4355">
      <w:pPr>
        <w:keepNext/>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Wójt Gminy Pozezdrze działając na podstawie art. 35 ust. 1 i 2 ustawy z dnia 21 sierpnia 1997 r. o gospodarce nieruchomościami (t.j.</w:t>
      </w:r>
      <w:r w:rsidR="004F4355">
        <w:rPr>
          <w:rFonts w:ascii="Times New Roman" w:eastAsia="Times New Roman" w:hAnsi="Times New Roman" w:cs="Times New Roman"/>
          <w:color w:val="000000"/>
          <w:shd w:val="clear" w:color="auto" w:fill="FFFFFF"/>
          <w:lang w:eastAsia="pl-PL"/>
        </w:rPr>
        <w:t xml:space="preserve"> </w:t>
      </w:r>
      <w:r w:rsidRPr="008127D4">
        <w:rPr>
          <w:rFonts w:ascii="Times New Roman" w:eastAsia="Times New Roman" w:hAnsi="Times New Roman" w:cs="Times New Roman"/>
          <w:color w:val="000000"/>
          <w:shd w:val="clear" w:color="auto" w:fill="FFFFFF"/>
          <w:lang w:eastAsia="pl-PL"/>
        </w:rPr>
        <w:t>Dz. U z 2018 r. poz. 121) ogłasza co następuje:</w:t>
      </w:r>
    </w:p>
    <w:p w:rsidR="004F4355" w:rsidRPr="008127D4" w:rsidRDefault="008127D4" w:rsidP="004F4355">
      <w:pPr>
        <w:keepNext/>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Z zasobu nieruchomości Gminy Pozezdrze przeznaczona została do sprzedaży niżej wymieniona niezabudowana nieruchomość gruntowa stanowiąca własność Gminy Pozezdrze, położona w obrębie geodezyjnym Harsz, gm. Pozezdrze, pow. węgorzewski, woj. warmińsko - mazurskie.</w:t>
      </w:r>
      <w:bookmarkStart w:id="0" w:name="_GoBack"/>
      <w:bookmarkEnd w:id="0"/>
    </w:p>
    <w:tbl>
      <w:tblPr>
        <w:tblStyle w:val="Tabela-Prosty1"/>
        <w:tblW w:w="0" w:type="auto"/>
        <w:tblInd w:w="0" w:type="dxa"/>
        <w:tblLayout w:type="fixed"/>
        <w:tblCellMar>
          <w:left w:w="108" w:type="dxa"/>
          <w:right w:w="108" w:type="dxa"/>
        </w:tblCellMar>
        <w:tblLook w:val="0000" w:firstRow="0" w:lastRow="0" w:firstColumn="0" w:lastColumn="0" w:noHBand="0" w:noVBand="0"/>
      </w:tblPr>
      <w:tblGrid>
        <w:gridCol w:w="1350"/>
        <w:gridCol w:w="1320"/>
        <w:gridCol w:w="1320"/>
        <w:gridCol w:w="1650"/>
        <w:gridCol w:w="2355"/>
        <w:gridCol w:w="2415"/>
      </w:tblGrid>
      <w:tr w:rsidR="008127D4" w:rsidRPr="008127D4">
        <w:trPr>
          <w:trHeight w:val="960"/>
        </w:trPr>
        <w:tc>
          <w:tcPr>
            <w:tcW w:w="1350" w:type="dxa"/>
            <w:tcMar>
              <w:top w:w="0" w:type="dxa"/>
              <w:left w:w="108" w:type="dxa"/>
              <w:bottom w:w="0" w:type="dxa"/>
              <w:right w:w="108" w:type="dxa"/>
            </w:tcMar>
          </w:tcPr>
          <w:p w:rsidR="008127D4" w:rsidRPr="008127D4" w:rsidRDefault="008127D4" w:rsidP="008127D4">
            <w:pPr>
              <w:keepNext/>
              <w:spacing w:after="480"/>
              <w:jc w:val="center"/>
              <w:rPr>
                <w:b/>
                <w:bCs/>
                <w:sz w:val="16"/>
                <w:szCs w:val="16"/>
              </w:rPr>
            </w:pPr>
            <w:r w:rsidRPr="008127D4">
              <w:rPr>
                <w:b/>
                <w:bCs/>
                <w:sz w:val="16"/>
                <w:szCs w:val="16"/>
              </w:rPr>
              <w:t>Oznaczenie nieruchomości wg katastru nieruchomości</w:t>
            </w:r>
          </w:p>
        </w:tc>
        <w:tc>
          <w:tcPr>
            <w:tcW w:w="1320" w:type="dxa"/>
            <w:tcMar>
              <w:top w:w="0" w:type="dxa"/>
              <w:left w:w="108" w:type="dxa"/>
              <w:bottom w:w="0" w:type="dxa"/>
              <w:right w:w="108" w:type="dxa"/>
            </w:tcMar>
          </w:tcPr>
          <w:p w:rsidR="008127D4" w:rsidRPr="008127D4" w:rsidRDefault="008127D4" w:rsidP="008127D4">
            <w:pPr>
              <w:keepNext/>
              <w:spacing w:after="480"/>
              <w:jc w:val="center"/>
              <w:rPr>
                <w:b/>
                <w:bCs/>
                <w:sz w:val="16"/>
                <w:szCs w:val="16"/>
              </w:rPr>
            </w:pPr>
            <w:r w:rsidRPr="008127D4">
              <w:rPr>
                <w:b/>
                <w:bCs/>
                <w:sz w:val="16"/>
                <w:szCs w:val="16"/>
              </w:rPr>
              <w:t xml:space="preserve">Pow. nieruchomości (ha) </w:t>
            </w:r>
          </w:p>
        </w:tc>
        <w:tc>
          <w:tcPr>
            <w:tcW w:w="1320" w:type="dxa"/>
            <w:tcMar>
              <w:top w:w="0" w:type="dxa"/>
              <w:left w:w="108" w:type="dxa"/>
              <w:bottom w:w="0" w:type="dxa"/>
              <w:right w:w="108" w:type="dxa"/>
            </w:tcMar>
          </w:tcPr>
          <w:p w:rsidR="008127D4" w:rsidRPr="008127D4" w:rsidRDefault="008127D4" w:rsidP="008127D4">
            <w:pPr>
              <w:keepNext/>
              <w:spacing w:after="80"/>
              <w:jc w:val="center"/>
              <w:rPr>
                <w:b/>
                <w:bCs/>
                <w:sz w:val="16"/>
                <w:szCs w:val="16"/>
              </w:rPr>
            </w:pPr>
            <w:r w:rsidRPr="008127D4">
              <w:rPr>
                <w:b/>
                <w:bCs/>
                <w:sz w:val="16"/>
                <w:szCs w:val="16"/>
              </w:rPr>
              <w:t>Cena nieruchomości netto</w:t>
            </w:r>
          </w:p>
          <w:p w:rsidR="008127D4" w:rsidRPr="008127D4" w:rsidRDefault="008127D4" w:rsidP="008127D4">
            <w:pPr>
              <w:keepNext/>
              <w:spacing w:after="80"/>
              <w:jc w:val="center"/>
              <w:rPr>
                <w:b/>
                <w:bCs/>
                <w:sz w:val="16"/>
                <w:szCs w:val="16"/>
              </w:rPr>
            </w:pPr>
            <w:r w:rsidRPr="008127D4">
              <w:rPr>
                <w:b/>
                <w:bCs/>
                <w:sz w:val="16"/>
                <w:szCs w:val="16"/>
              </w:rPr>
              <w:t>(zł.)</w:t>
            </w:r>
          </w:p>
        </w:tc>
        <w:tc>
          <w:tcPr>
            <w:tcW w:w="1650" w:type="dxa"/>
            <w:tcMar>
              <w:top w:w="0" w:type="dxa"/>
              <w:left w:w="108" w:type="dxa"/>
              <w:bottom w:w="0" w:type="dxa"/>
              <w:right w:w="108" w:type="dxa"/>
            </w:tcMar>
          </w:tcPr>
          <w:p w:rsidR="008127D4" w:rsidRPr="008127D4" w:rsidRDefault="008127D4" w:rsidP="008127D4">
            <w:pPr>
              <w:keepNext/>
              <w:spacing w:after="480"/>
              <w:jc w:val="center"/>
              <w:rPr>
                <w:b/>
                <w:bCs/>
                <w:sz w:val="16"/>
                <w:szCs w:val="16"/>
              </w:rPr>
            </w:pPr>
            <w:r w:rsidRPr="008127D4">
              <w:rPr>
                <w:b/>
                <w:bCs/>
                <w:sz w:val="16"/>
                <w:szCs w:val="16"/>
              </w:rPr>
              <w:t>Oznaczenie w KW</w:t>
            </w:r>
          </w:p>
        </w:tc>
        <w:tc>
          <w:tcPr>
            <w:tcW w:w="2355" w:type="dxa"/>
            <w:tcMar>
              <w:top w:w="0" w:type="dxa"/>
              <w:left w:w="108" w:type="dxa"/>
              <w:bottom w:w="0" w:type="dxa"/>
              <w:right w:w="108" w:type="dxa"/>
            </w:tcMar>
          </w:tcPr>
          <w:p w:rsidR="008127D4" w:rsidRPr="008127D4" w:rsidRDefault="008127D4" w:rsidP="008127D4">
            <w:pPr>
              <w:keepNext/>
              <w:spacing w:after="480"/>
              <w:jc w:val="center"/>
              <w:rPr>
                <w:b/>
                <w:bCs/>
                <w:sz w:val="16"/>
                <w:szCs w:val="16"/>
              </w:rPr>
            </w:pPr>
            <w:r w:rsidRPr="008127D4">
              <w:rPr>
                <w:b/>
                <w:bCs/>
                <w:sz w:val="16"/>
                <w:szCs w:val="16"/>
              </w:rPr>
              <w:t xml:space="preserve">Przeznaczenie nieruchomości i sposób jej zagospodarowania </w:t>
            </w:r>
          </w:p>
        </w:tc>
        <w:tc>
          <w:tcPr>
            <w:tcW w:w="2415" w:type="dxa"/>
            <w:tcMar>
              <w:top w:w="0" w:type="dxa"/>
              <w:left w:w="108" w:type="dxa"/>
              <w:bottom w:w="0" w:type="dxa"/>
              <w:right w:w="108" w:type="dxa"/>
            </w:tcMar>
          </w:tcPr>
          <w:p w:rsidR="008127D4" w:rsidRPr="008127D4" w:rsidRDefault="008127D4" w:rsidP="008127D4">
            <w:pPr>
              <w:keepNext/>
              <w:spacing w:after="480"/>
              <w:jc w:val="center"/>
              <w:rPr>
                <w:b/>
                <w:bCs/>
                <w:sz w:val="16"/>
                <w:szCs w:val="16"/>
              </w:rPr>
            </w:pPr>
            <w:r w:rsidRPr="008127D4">
              <w:rPr>
                <w:b/>
                <w:bCs/>
                <w:sz w:val="16"/>
                <w:szCs w:val="16"/>
              </w:rPr>
              <w:t>Opis nieruchomości</w:t>
            </w:r>
          </w:p>
        </w:tc>
      </w:tr>
      <w:tr w:rsidR="008127D4" w:rsidRPr="008127D4" w:rsidTr="004F4355">
        <w:tc>
          <w:tcPr>
            <w:tcW w:w="1350" w:type="dxa"/>
            <w:tcMar>
              <w:top w:w="0" w:type="dxa"/>
              <w:left w:w="108" w:type="dxa"/>
              <w:bottom w:w="0" w:type="dxa"/>
              <w:right w:w="108" w:type="dxa"/>
            </w:tcMar>
            <w:vAlign w:val="center"/>
          </w:tcPr>
          <w:p w:rsidR="008127D4" w:rsidRPr="008127D4" w:rsidRDefault="008127D4" w:rsidP="004F4355">
            <w:pPr>
              <w:keepNext/>
              <w:spacing w:after="100"/>
              <w:jc w:val="center"/>
              <w:rPr>
                <w:b/>
                <w:bCs/>
                <w:sz w:val="18"/>
                <w:szCs w:val="18"/>
              </w:rPr>
            </w:pPr>
            <w:r w:rsidRPr="008127D4">
              <w:rPr>
                <w:b/>
                <w:bCs/>
                <w:sz w:val="18"/>
                <w:szCs w:val="18"/>
              </w:rPr>
              <w:t>Obręb 2</w:t>
            </w:r>
          </w:p>
          <w:p w:rsidR="008127D4" w:rsidRPr="008127D4" w:rsidRDefault="008127D4" w:rsidP="004F4355">
            <w:pPr>
              <w:keepNext/>
              <w:spacing w:after="100"/>
              <w:jc w:val="center"/>
              <w:rPr>
                <w:b/>
                <w:bCs/>
                <w:sz w:val="18"/>
                <w:szCs w:val="18"/>
              </w:rPr>
            </w:pPr>
            <w:r w:rsidRPr="008127D4">
              <w:rPr>
                <w:b/>
                <w:bCs/>
                <w:sz w:val="18"/>
                <w:szCs w:val="18"/>
              </w:rPr>
              <w:t>Harsz</w:t>
            </w:r>
          </w:p>
          <w:p w:rsidR="008127D4" w:rsidRPr="008127D4" w:rsidRDefault="008127D4" w:rsidP="004F4355">
            <w:pPr>
              <w:keepNext/>
              <w:spacing w:after="100"/>
              <w:jc w:val="center"/>
              <w:rPr>
                <w:b/>
                <w:bCs/>
                <w:sz w:val="18"/>
                <w:szCs w:val="18"/>
              </w:rPr>
            </w:pPr>
            <w:r w:rsidRPr="008127D4">
              <w:rPr>
                <w:b/>
                <w:bCs/>
                <w:sz w:val="18"/>
                <w:szCs w:val="18"/>
              </w:rPr>
              <w:t>działka</w:t>
            </w:r>
          </w:p>
          <w:p w:rsidR="008127D4" w:rsidRPr="008127D4" w:rsidRDefault="008127D4" w:rsidP="004F4355">
            <w:pPr>
              <w:keepNext/>
              <w:spacing w:after="100"/>
              <w:jc w:val="center"/>
              <w:rPr>
                <w:b/>
                <w:bCs/>
                <w:sz w:val="18"/>
                <w:szCs w:val="18"/>
              </w:rPr>
            </w:pPr>
            <w:r w:rsidRPr="008127D4">
              <w:rPr>
                <w:b/>
                <w:bCs/>
                <w:sz w:val="18"/>
                <w:szCs w:val="18"/>
              </w:rPr>
              <w:t>Nr geod.</w:t>
            </w:r>
          </w:p>
          <w:p w:rsidR="008127D4" w:rsidRPr="008127D4" w:rsidRDefault="008127D4" w:rsidP="004F4355">
            <w:pPr>
              <w:keepNext/>
              <w:spacing w:after="100"/>
              <w:jc w:val="center"/>
              <w:rPr>
                <w:b/>
                <w:bCs/>
                <w:sz w:val="18"/>
                <w:szCs w:val="18"/>
              </w:rPr>
            </w:pPr>
            <w:r w:rsidRPr="008127D4">
              <w:rPr>
                <w:b/>
                <w:bCs/>
                <w:sz w:val="18"/>
                <w:szCs w:val="18"/>
              </w:rPr>
              <w:t>87/1</w:t>
            </w:r>
          </w:p>
        </w:tc>
        <w:tc>
          <w:tcPr>
            <w:tcW w:w="1320" w:type="dxa"/>
            <w:tcMar>
              <w:top w:w="0" w:type="dxa"/>
              <w:left w:w="108" w:type="dxa"/>
              <w:bottom w:w="0" w:type="dxa"/>
              <w:right w:w="108" w:type="dxa"/>
            </w:tcMar>
            <w:vAlign w:val="center"/>
          </w:tcPr>
          <w:p w:rsidR="008127D4" w:rsidRPr="008127D4" w:rsidRDefault="008127D4" w:rsidP="004F4355">
            <w:pPr>
              <w:keepNext/>
              <w:spacing w:after="480"/>
              <w:jc w:val="center"/>
              <w:rPr>
                <w:sz w:val="18"/>
                <w:szCs w:val="18"/>
              </w:rPr>
            </w:pPr>
            <w:r w:rsidRPr="008127D4">
              <w:rPr>
                <w:sz w:val="18"/>
                <w:szCs w:val="18"/>
              </w:rPr>
              <w:t>0,9000</w:t>
            </w:r>
          </w:p>
        </w:tc>
        <w:tc>
          <w:tcPr>
            <w:tcW w:w="1320" w:type="dxa"/>
            <w:tcMar>
              <w:top w:w="0" w:type="dxa"/>
              <w:left w:w="108" w:type="dxa"/>
              <w:bottom w:w="0" w:type="dxa"/>
              <w:right w:w="108" w:type="dxa"/>
            </w:tcMar>
            <w:vAlign w:val="center"/>
          </w:tcPr>
          <w:p w:rsidR="008127D4" w:rsidRPr="008127D4" w:rsidRDefault="008127D4" w:rsidP="004F4355">
            <w:pPr>
              <w:keepNext/>
              <w:spacing w:after="480"/>
              <w:jc w:val="center"/>
              <w:rPr>
                <w:sz w:val="18"/>
                <w:szCs w:val="18"/>
              </w:rPr>
            </w:pPr>
            <w:r w:rsidRPr="008127D4">
              <w:rPr>
                <w:b/>
                <w:bCs/>
                <w:sz w:val="18"/>
                <w:szCs w:val="18"/>
              </w:rPr>
              <w:t>65.100,00</w:t>
            </w:r>
          </w:p>
        </w:tc>
        <w:tc>
          <w:tcPr>
            <w:tcW w:w="1650" w:type="dxa"/>
            <w:tcMar>
              <w:top w:w="0" w:type="dxa"/>
              <w:left w:w="108" w:type="dxa"/>
              <w:bottom w:w="0" w:type="dxa"/>
              <w:right w:w="108" w:type="dxa"/>
            </w:tcMar>
            <w:vAlign w:val="center"/>
          </w:tcPr>
          <w:p w:rsidR="008127D4" w:rsidRPr="008127D4" w:rsidRDefault="008127D4" w:rsidP="004F4355">
            <w:pPr>
              <w:keepNext/>
              <w:spacing w:after="480"/>
              <w:jc w:val="center"/>
              <w:rPr>
                <w:sz w:val="18"/>
                <w:szCs w:val="18"/>
              </w:rPr>
            </w:pPr>
            <w:r w:rsidRPr="008127D4">
              <w:rPr>
                <w:sz w:val="18"/>
                <w:szCs w:val="18"/>
              </w:rPr>
              <w:t>KW. Nr  OL2G/00010912/7 prowadzonej przez Sąd Rejonowy w Giżycku VII Zamiejscowy Wydział KW w Węgorzewie</w:t>
            </w:r>
          </w:p>
        </w:tc>
        <w:tc>
          <w:tcPr>
            <w:tcW w:w="2355" w:type="dxa"/>
            <w:tcMar>
              <w:top w:w="0" w:type="dxa"/>
              <w:left w:w="108" w:type="dxa"/>
              <w:bottom w:w="0" w:type="dxa"/>
              <w:right w:w="108" w:type="dxa"/>
            </w:tcMar>
          </w:tcPr>
          <w:p w:rsidR="008127D4" w:rsidRPr="004F4355" w:rsidRDefault="008127D4" w:rsidP="008127D4">
            <w:pPr>
              <w:jc w:val="center"/>
              <w:rPr>
                <w:sz w:val="18"/>
                <w:szCs w:val="18"/>
              </w:rPr>
            </w:pPr>
            <w:r w:rsidRPr="008127D4">
              <w:rPr>
                <w:sz w:val="18"/>
                <w:szCs w:val="18"/>
              </w:rPr>
              <w:t xml:space="preserve">Przedmiotowa działka położona jest na terenie nie objętym Miejscowym Planem Zagospodarowania Przestrzennego. </w:t>
            </w:r>
            <w:r w:rsidRPr="004F4355">
              <w:rPr>
                <w:sz w:val="18"/>
                <w:szCs w:val="18"/>
              </w:rPr>
              <w:t>W studium uwarunkowania i kierunków</w:t>
            </w:r>
            <w:r w:rsidRPr="008127D4">
              <w:rPr>
                <w:sz w:val="18"/>
                <w:szCs w:val="18"/>
              </w:rPr>
              <w:t xml:space="preserve"> </w:t>
            </w:r>
            <w:r w:rsidRPr="004F4355">
              <w:rPr>
                <w:sz w:val="18"/>
                <w:szCs w:val="18"/>
              </w:rPr>
              <w:t>zagospodarowania przestrzennego gminy Pozezdrze,</w:t>
            </w:r>
            <w:r w:rsidRPr="008127D4">
              <w:rPr>
                <w:sz w:val="18"/>
                <w:szCs w:val="18"/>
              </w:rPr>
              <w:t xml:space="preserve"> </w:t>
            </w:r>
            <w:r w:rsidRPr="004F4355">
              <w:rPr>
                <w:sz w:val="18"/>
                <w:szCs w:val="18"/>
              </w:rPr>
              <w:t xml:space="preserve"> ma przeznaczenie:</w:t>
            </w:r>
          </w:p>
          <w:p w:rsidR="008127D4" w:rsidRPr="008127D4" w:rsidRDefault="008127D4" w:rsidP="008127D4">
            <w:pPr>
              <w:jc w:val="center"/>
              <w:rPr>
                <w:sz w:val="18"/>
                <w:szCs w:val="18"/>
              </w:rPr>
            </w:pPr>
            <w:r w:rsidRPr="008127D4">
              <w:rPr>
                <w:sz w:val="18"/>
                <w:szCs w:val="18"/>
              </w:rPr>
              <w:t>obszar jednostki strukturalnej „T”, gdzie podstawową funkcją</w:t>
            </w:r>
            <w:r w:rsidRPr="008127D4">
              <w:rPr>
                <w:b/>
                <w:bCs/>
                <w:sz w:val="18"/>
                <w:szCs w:val="18"/>
              </w:rPr>
              <w:t xml:space="preserve"> </w:t>
            </w:r>
            <w:r w:rsidRPr="008127D4">
              <w:rPr>
                <w:sz w:val="18"/>
                <w:szCs w:val="18"/>
              </w:rPr>
              <w:t>jest</w:t>
            </w:r>
            <w:r w:rsidRPr="008127D4">
              <w:rPr>
                <w:b/>
                <w:bCs/>
                <w:sz w:val="18"/>
                <w:szCs w:val="18"/>
              </w:rPr>
              <w:t xml:space="preserve"> </w:t>
            </w:r>
            <w:r w:rsidRPr="008127D4">
              <w:rPr>
                <w:sz w:val="18"/>
                <w:szCs w:val="18"/>
              </w:rPr>
              <w:t>turystyka i rybactwo, a jako funkcja uzupełniająca leśnictwo i rolnictwo.</w:t>
            </w:r>
          </w:p>
        </w:tc>
        <w:tc>
          <w:tcPr>
            <w:tcW w:w="2415" w:type="dxa"/>
            <w:tcMar>
              <w:top w:w="0" w:type="dxa"/>
              <w:left w:w="108" w:type="dxa"/>
              <w:bottom w:w="0" w:type="dxa"/>
              <w:right w:w="108" w:type="dxa"/>
            </w:tcMar>
          </w:tcPr>
          <w:p w:rsidR="008127D4" w:rsidRPr="008127D4" w:rsidRDefault="008127D4" w:rsidP="008127D4">
            <w:pPr>
              <w:keepNext/>
              <w:spacing w:after="60"/>
              <w:jc w:val="center"/>
              <w:rPr>
                <w:sz w:val="18"/>
                <w:szCs w:val="18"/>
              </w:rPr>
            </w:pPr>
            <w:r w:rsidRPr="008127D4">
              <w:rPr>
                <w:sz w:val="18"/>
                <w:szCs w:val="18"/>
              </w:rPr>
              <w:t xml:space="preserve">Działka  położona jest na terenie wsi  Harsz o kształcie zbliżonym do prostokąta, położona w pewnym oddaleniu od terenu zwartej zabudowy wsi w otoczeniu gruntów rolnych, przy drodze gruntowej prowadzącej do  drogi głównej biegnącej przez wieś Harsz do działki nie ma doprowadzonych urządzeń infrastruktury technicznej woda, kanalizacja, prąd. Obecnie działka uprawiana jest rolniczo  obejmuje grunty orne RIII b -0,09 ha. </w:t>
            </w:r>
          </w:p>
          <w:p w:rsidR="008127D4" w:rsidRPr="008127D4" w:rsidRDefault="008127D4" w:rsidP="008127D4">
            <w:pPr>
              <w:keepNext/>
              <w:spacing w:after="60"/>
              <w:jc w:val="center"/>
              <w:rPr>
                <w:sz w:val="18"/>
                <w:szCs w:val="18"/>
              </w:rPr>
            </w:pPr>
            <w:r w:rsidRPr="008127D4">
              <w:rPr>
                <w:sz w:val="18"/>
                <w:szCs w:val="18"/>
              </w:rPr>
              <w:t>RV-0,69 ha., RVI - 0,12 ha</w:t>
            </w:r>
          </w:p>
          <w:p w:rsidR="008127D4" w:rsidRPr="008127D4" w:rsidRDefault="008127D4" w:rsidP="008127D4">
            <w:pPr>
              <w:keepNext/>
              <w:spacing w:after="60"/>
              <w:jc w:val="center"/>
              <w:rPr>
                <w:sz w:val="18"/>
                <w:szCs w:val="18"/>
              </w:rPr>
            </w:pPr>
            <w:r w:rsidRPr="008127D4">
              <w:rPr>
                <w:sz w:val="18"/>
                <w:szCs w:val="18"/>
              </w:rPr>
              <w:t xml:space="preserve">Działka znajduje się w dzierżawie - umowa dzierżawy obowiązuje </w:t>
            </w:r>
            <w:r w:rsidRPr="008127D4">
              <w:rPr>
                <w:b/>
                <w:bCs/>
                <w:sz w:val="18"/>
                <w:szCs w:val="18"/>
              </w:rPr>
              <w:t>do 30.09.2019 r.</w:t>
            </w:r>
            <w:r w:rsidRPr="008127D4">
              <w:rPr>
                <w:sz w:val="18"/>
                <w:szCs w:val="18"/>
              </w:rPr>
              <w:t xml:space="preserve"> </w:t>
            </w:r>
          </w:p>
        </w:tc>
      </w:tr>
    </w:tbl>
    <w:p w:rsidR="008127D4" w:rsidRPr="008127D4" w:rsidRDefault="008127D4" w:rsidP="008127D4">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1. Zgodnie z  ustawą z dnia 11 marca 2004 r. o podatku od towarów i usług (t.j. Dz. U z 2017 r. poz. 1221 z późn. zm.) sprzedaż ww. nieruchomości jest zwolniona z podatku VAT.</w:t>
      </w:r>
    </w:p>
    <w:p w:rsidR="008127D4" w:rsidRPr="008127D4" w:rsidRDefault="008127D4" w:rsidP="008127D4">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2. Niniejszy wykaz podaje się do publicznej wiadomości poprzez wywieszenie na okres 21 dni na tablicy ogłoszeń w siedzibie Urzędzie Gminy w Pozezdrzu przy ul. 1 Maja 1a, 11-610 Pozezdrze, a także poprzez zamieszczenie stronach internetowych właściwego urzędu.</w:t>
      </w:r>
    </w:p>
    <w:p w:rsidR="008127D4" w:rsidRPr="008127D4" w:rsidRDefault="008127D4" w:rsidP="008127D4">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3. Zgodnie z art. 34 ust. 1 pkt 1 i 2 pkt 2 ustawy z dnia 21 sierpnia 1997 r. o gospodarce nieruchomościami  pierwszeństwo w nabyciu w/w nieruchomości, z zastrzeżeniem art. 216a, przysługuje osobie, która spełnia jeden z następujących warunków:</w:t>
      </w:r>
    </w:p>
    <w:p w:rsidR="008127D4" w:rsidRPr="008127D4" w:rsidRDefault="008127D4" w:rsidP="008127D4">
      <w:pPr>
        <w:keepNext/>
        <w:autoSpaceDE w:val="0"/>
        <w:autoSpaceDN w:val="0"/>
        <w:adjustRightInd w:val="0"/>
        <w:spacing w:after="100" w:line="240" w:lineRule="auto"/>
        <w:ind w:left="288" w:hanging="288"/>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1)  przysługuje jej roszczenie o nabycie nieruchomości z mocy niniejszej ustawy lub odrębnych przepisów,</w:t>
      </w:r>
    </w:p>
    <w:p w:rsidR="008127D4" w:rsidRPr="008127D4" w:rsidRDefault="008127D4" w:rsidP="008127D4">
      <w:pPr>
        <w:keepNext/>
        <w:autoSpaceDE w:val="0"/>
        <w:autoSpaceDN w:val="0"/>
        <w:adjustRightInd w:val="0"/>
        <w:spacing w:after="100" w:line="240" w:lineRule="auto"/>
        <w:ind w:left="288" w:hanging="288"/>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2) jest poprzednim właścicielem zbywanej nieruchomości pozbawionym prawa własności tej nieruchomości przed 5 grudnia 1990 r. albo jego spadkobiercą.</w:t>
      </w:r>
    </w:p>
    <w:p w:rsidR="008127D4" w:rsidRPr="008127D4" w:rsidRDefault="008127D4" w:rsidP="008127D4">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 xml:space="preserve">4. Osoby, o których mowa powyżej, korzystają z pierwszeństwa w nabyciu nieruchomości jeżeli złożą wniosek o nabycie nieruchomości w terminie do dnia </w:t>
      </w:r>
      <w:r w:rsidRPr="008127D4">
        <w:rPr>
          <w:rFonts w:ascii="Times New Roman" w:eastAsia="Times New Roman" w:hAnsi="Times New Roman" w:cs="Times New Roman"/>
          <w:b/>
          <w:bCs/>
          <w:color w:val="000000"/>
          <w:shd w:val="clear" w:color="auto" w:fill="FFFFFF"/>
          <w:lang w:eastAsia="pl-PL"/>
        </w:rPr>
        <w:t>8 marca 2018 r.</w:t>
      </w:r>
      <w:r w:rsidRPr="008127D4">
        <w:rPr>
          <w:rFonts w:ascii="Times New Roman" w:eastAsia="Times New Roman" w:hAnsi="Times New Roman" w:cs="Times New Roman"/>
          <w:color w:val="000000"/>
          <w:shd w:val="clear" w:color="auto" w:fill="FFFFFF"/>
          <w:lang w:eastAsia="pl-PL"/>
        </w:rPr>
        <w:t xml:space="preserve"> i złożą oświadczenie, że wyrażają zgodę na ceną ustaloną w sposób określony w ustawie. W przypadku zbiegu uprawnień do pierwszeństwa w nabyciu, stosuje się kolejność wymienioną powyżej. O ile w/w nieruchomość nie zostanie sprzedana na zasadach określonych wyżej albo co do której przepisy nie mają zastosowania, podlegają sprzedaży w trybie przetargu ustnego nieograniczonego.</w:t>
      </w:r>
    </w:p>
    <w:p w:rsidR="008127D4" w:rsidRPr="008127D4" w:rsidRDefault="008127D4" w:rsidP="008127D4">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5. Cudzoziemcy chcący nabyć powyższą nieruchomość powinni spełniać warunki zawarte w ustawie z dnia 24 marca 1920 r. o nabyciu nieruchomości przez cudzoziemców (t.j.</w:t>
      </w:r>
      <w:r w:rsidR="004F4355">
        <w:rPr>
          <w:rFonts w:ascii="Times New Roman" w:eastAsia="Times New Roman" w:hAnsi="Times New Roman" w:cs="Times New Roman"/>
          <w:color w:val="000000"/>
          <w:shd w:val="clear" w:color="auto" w:fill="FFFFFF"/>
          <w:lang w:eastAsia="pl-PL"/>
        </w:rPr>
        <w:t xml:space="preserve"> </w:t>
      </w:r>
      <w:r w:rsidRPr="008127D4">
        <w:rPr>
          <w:rFonts w:ascii="Times New Roman" w:eastAsia="Times New Roman" w:hAnsi="Times New Roman" w:cs="Times New Roman"/>
          <w:color w:val="000000"/>
          <w:shd w:val="clear" w:color="auto" w:fill="FFFFFF"/>
          <w:lang w:eastAsia="pl-PL"/>
        </w:rPr>
        <w:t>Dz. U. z 2016 r., poz. 1061 z późm. zm.).</w:t>
      </w:r>
    </w:p>
    <w:p w:rsidR="008127D4" w:rsidRPr="008127D4" w:rsidRDefault="008127D4" w:rsidP="004F4355">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8127D4">
        <w:rPr>
          <w:rFonts w:ascii="Times New Roman" w:eastAsia="Times New Roman" w:hAnsi="Times New Roman" w:cs="Times New Roman"/>
          <w:color w:val="000000"/>
          <w:shd w:val="clear" w:color="auto" w:fill="FFFFFF"/>
          <w:lang w:eastAsia="pl-PL"/>
        </w:rPr>
        <w:t>6.  Szczegółowe informacje można uzyskać w Urzędzie Gminy w Pozezdrzu przy ul. 1 Maja 1a, Referat Rozwoju Gminy i Przedsięwzięć Publicznych   - pokój nr 13 lub 19, tel.: 87 427 90 06 wew.40 lub 46.</w:t>
      </w:r>
    </w:p>
    <w:p w:rsidR="00640582" w:rsidRDefault="00640582"/>
    <w:sectPr w:rsidR="00640582" w:rsidSect="004F4355">
      <w:pgSz w:w="12240" w:h="15840"/>
      <w:pgMar w:top="709" w:right="1417" w:bottom="568"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D4"/>
    <w:rsid w:val="004F4355"/>
    <w:rsid w:val="00640582"/>
    <w:rsid w:val="00812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8127D4"/>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8127D4"/>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3103</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2</cp:revision>
  <dcterms:created xsi:type="dcterms:W3CDTF">2018-01-19T08:41:00Z</dcterms:created>
  <dcterms:modified xsi:type="dcterms:W3CDTF">2018-01-19T09:38:00Z</dcterms:modified>
</cp:coreProperties>
</file>