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437A9" w14:textId="3F653B1D" w:rsidR="00FA35F1" w:rsidRPr="009F1CC5" w:rsidRDefault="009F1CC5" w:rsidP="00FA35F1">
      <w:pPr>
        <w:pStyle w:val="NormalnyWeb"/>
        <w:spacing w:before="120" w:after="120" w:line="276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Starogard Gdański, </w:t>
      </w:r>
      <w:r w:rsidR="00120801">
        <w:rPr>
          <w:rFonts w:ascii="Arial" w:hAnsi="Arial" w:cs="Arial"/>
          <w:sz w:val="20"/>
          <w:szCs w:val="20"/>
        </w:rPr>
        <w:t>06.05</w:t>
      </w:r>
      <w:bookmarkStart w:id="0" w:name="_GoBack"/>
      <w:bookmarkEnd w:id="0"/>
      <w:r w:rsidRPr="009F1CC5">
        <w:rPr>
          <w:rFonts w:ascii="Arial" w:hAnsi="Arial" w:cs="Arial"/>
          <w:sz w:val="20"/>
          <w:szCs w:val="20"/>
        </w:rPr>
        <w:t>.2024 r.</w:t>
      </w:r>
    </w:p>
    <w:p w14:paraId="728562A8" w14:textId="5C203542" w:rsidR="00FA35F1" w:rsidRPr="009F1CC5" w:rsidRDefault="00FA35F1" w:rsidP="00FA35F1">
      <w:pPr>
        <w:pStyle w:val="NormalnyWeb"/>
        <w:spacing w:before="120"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F1CC5">
        <w:rPr>
          <w:rStyle w:val="Pogrubienie"/>
          <w:rFonts w:ascii="Arial" w:hAnsi="Arial" w:cs="Arial"/>
          <w:sz w:val="20"/>
          <w:szCs w:val="20"/>
        </w:rPr>
        <w:t>Obwieszczenie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Pr="009F1CC5">
        <w:rPr>
          <w:rStyle w:val="Pogrubienie"/>
          <w:rFonts w:ascii="Arial" w:hAnsi="Arial" w:cs="Arial"/>
          <w:sz w:val="20"/>
          <w:szCs w:val="20"/>
        </w:rPr>
        <w:t xml:space="preserve">o odstąpieniu od przeprowadzenia strategicznej oceny oddziaływania na środowisko dla projektu </w:t>
      </w:r>
      <w:r w:rsidRPr="009F1CC5">
        <w:rPr>
          <w:rFonts w:ascii="Arial" w:hAnsi="Arial" w:cs="Arial"/>
          <w:b/>
          <w:sz w:val="20"/>
          <w:szCs w:val="20"/>
        </w:rPr>
        <w:t>„</w:t>
      </w:r>
      <w:r w:rsidR="00E16441" w:rsidRPr="009F1CC5">
        <w:rPr>
          <w:rFonts w:ascii="Arial" w:hAnsi="Arial" w:cs="Arial"/>
          <w:b/>
          <w:sz w:val="20"/>
          <w:szCs w:val="20"/>
        </w:rPr>
        <w:t>Strategii Rozwoju</w:t>
      </w:r>
      <w:r w:rsidRPr="009F1CC5">
        <w:rPr>
          <w:rFonts w:ascii="Arial" w:hAnsi="Arial" w:cs="Arial"/>
          <w:b/>
          <w:sz w:val="20"/>
          <w:szCs w:val="20"/>
        </w:rPr>
        <w:t xml:space="preserve"> </w:t>
      </w:r>
      <w:r w:rsidR="009F1CC5">
        <w:rPr>
          <w:rFonts w:ascii="Arial" w:hAnsi="Arial" w:cs="Arial"/>
          <w:b/>
          <w:sz w:val="20"/>
          <w:szCs w:val="20"/>
        </w:rPr>
        <w:t>Gminy Starogard Gdański na lata 2023-2030</w:t>
      </w:r>
      <w:r w:rsidRPr="009F1CC5">
        <w:rPr>
          <w:rFonts w:ascii="Arial" w:hAnsi="Arial" w:cs="Arial"/>
          <w:b/>
          <w:sz w:val="20"/>
          <w:szCs w:val="20"/>
        </w:rPr>
        <w:t>”</w:t>
      </w:r>
    </w:p>
    <w:p w14:paraId="0226B2A2" w14:textId="77777777" w:rsidR="00FA35F1" w:rsidRPr="009F1CC5" w:rsidRDefault="00FA35F1" w:rsidP="00FA35F1">
      <w:pPr>
        <w:pStyle w:val="NormalnyWeb"/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9F9E09" w14:textId="69DE908A" w:rsidR="00FA35F1" w:rsidRPr="009F1CC5" w:rsidRDefault="00FA35F1" w:rsidP="009F1CC5">
      <w:pPr>
        <w:pStyle w:val="NormalnyWeb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9F1CC5">
        <w:rPr>
          <w:rFonts w:ascii="Arial" w:hAnsi="Arial" w:cs="Arial"/>
          <w:bCs/>
          <w:sz w:val="20"/>
          <w:szCs w:val="20"/>
        </w:rPr>
        <w:t xml:space="preserve">Zgodnie z art. 48 ust. 1 </w:t>
      </w:r>
      <w:r w:rsidRPr="009F1CC5">
        <w:rPr>
          <w:rFonts w:ascii="Arial" w:hAnsi="Arial" w:cs="Arial"/>
          <w:sz w:val="20"/>
          <w:szCs w:val="20"/>
        </w:rPr>
        <w:t>ustawy z dnia 3 października 2008 r. o udostępnianiu informacji o środowisku i jego ochronie, udziale społeczeństwa w ochronie środowiska oraz o ocenach oddziaływania na środowisko (Dz.U. 202</w:t>
      </w:r>
      <w:r w:rsidR="009F1CC5" w:rsidRPr="009F1CC5">
        <w:rPr>
          <w:rFonts w:ascii="Arial" w:hAnsi="Arial" w:cs="Arial"/>
          <w:sz w:val="20"/>
          <w:szCs w:val="20"/>
        </w:rPr>
        <w:t>4</w:t>
      </w:r>
      <w:r w:rsidRPr="009F1CC5">
        <w:rPr>
          <w:rFonts w:ascii="Arial" w:hAnsi="Arial" w:cs="Arial"/>
          <w:sz w:val="20"/>
          <w:szCs w:val="20"/>
        </w:rPr>
        <w:t xml:space="preserve"> poz. 109</w:t>
      </w:r>
      <w:r w:rsidR="009F1CC5" w:rsidRPr="009F1CC5">
        <w:rPr>
          <w:rFonts w:ascii="Arial" w:hAnsi="Arial" w:cs="Arial"/>
          <w:sz w:val="20"/>
          <w:szCs w:val="20"/>
        </w:rPr>
        <w:t>4</w:t>
      </w:r>
      <w:r w:rsidRPr="009F1CC5">
        <w:rPr>
          <w:rFonts w:ascii="Arial" w:hAnsi="Arial" w:cs="Arial"/>
          <w:sz w:val="20"/>
          <w:szCs w:val="20"/>
        </w:rPr>
        <w:t xml:space="preserve"> ze zm.), o</w:t>
      </w:r>
      <w:r w:rsidRPr="009F1CC5">
        <w:rPr>
          <w:rFonts w:ascii="Arial" w:hAnsi="Arial" w:cs="Arial"/>
          <w:bCs/>
          <w:sz w:val="20"/>
          <w:szCs w:val="20"/>
        </w:rPr>
        <w:t xml:space="preserve">rgan administracji opracowujący projekt dokumentu może po uzgodnieniu z właściwymi organami, o których mowa w art. 57 i 58 ww. ustawy, odstąpić od przeprowadzenia strategicznej oceny oddziaływania na środowisko, jeżeli uzna, że realizacja postanowień danego dokumentu nie spowoduje znaczącego oddziaływania na środowisko. </w:t>
      </w:r>
    </w:p>
    <w:p w14:paraId="037E870F" w14:textId="77777777" w:rsidR="00FA35F1" w:rsidRPr="009F1CC5" w:rsidRDefault="00FA35F1" w:rsidP="009F1CC5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9F1CC5">
        <w:rPr>
          <w:rFonts w:ascii="Arial" w:hAnsi="Arial" w:cs="Arial"/>
          <w:bCs/>
          <w:sz w:val="20"/>
          <w:szCs w:val="20"/>
        </w:rPr>
        <w:t>Odstąpienie od przeprowadzenia strategicznej oceny oddziaływania na środowisko może dotyczyć wyłącznie projektów dokumentów stanowiących niewielkie modyfikacje w ustaleniach przyjętych już dokumentów lub projektów dokumentów dotyczących obszarów w granicach jednej gminy.</w:t>
      </w:r>
    </w:p>
    <w:p w14:paraId="280FEF04" w14:textId="1B94EBC1" w:rsidR="00FA35F1" w:rsidRPr="009F1CC5" w:rsidRDefault="00FA35F1" w:rsidP="009F1CC5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W piśmie z dnia </w:t>
      </w:r>
      <w:r w:rsidR="009F1CC5" w:rsidRPr="009F1CC5">
        <w:rPr>
          <w:rFonts w:ascii="Arial" w:hAnsi="Arial" w:cs="Arial"/>
          <w:sz w:val="20"/>
          <w:szCs w:val="20"/>
        </w:rPr>
        <w:t>18.04.2024</w:t>
      </w:r>
      <w:r w:rsidRPr="009F1CC5">
        <w:rPr>
          <w:rFonts w:ascii="Arial" w:hAnsi="Arial" w:cs="Arial"/>
          <w:sz w:val="20"/>
          <w:szCs w:val="20"/>
        </w:rPr>
        <w:t xml:space="preserve"> r. (znak:</w:t>
      </w:r>
      <w:r w:rsidR="009F1CC5" w:rsidRPr="009F1CC5">
        <w:rPr>
          <w:rFonts w:ascii="Arial" w:hAnsi="Arial" w:cs="Arial"/>
          <w:sz w:val="20"/>
          <w:szCs w:val="20"/>
        </w:rPr>
        <w:t xml:space="preserve"> RDOŚ-Gd-WOO.410.17.2024.JP/SH.1</w:t>
      </w:r>
      <w:r w:rsidRPr="009F1CC5">
        <w:rPr>
          <w:rFonts w:ascii="Arial" w:hAnsi="Arial" w:cs="Arial"/>
          <w:sz w:val="20"/>
          <w:szCs w:val="20"/>
        </w:rPr>
        <w:t xml:space="preserve">) Regionalny Dyrektor Ochrony Środowiska </w:t>
      </w:r>
      <w:r w:rsidR="009F1CC5" w:rsidRPr="009F1CC5">
        <w:rPr>
          <w:rFonts w:ascii="Arial" w:hAnsi="Arial" w:cs="Arial"/>
          <w:sz w:val="20"/>
          <w:szCs w:val="20"/>
        </w:rPr>
        <w:t>w Gdańsku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="009F1CC5" w:rsidRPr="009F1CC5">
        <w:rPr>
          <w:rFonts w:ascii="Arial" w:hAnsi="Arial" w:cs="Arial"/>
          <w:sz w:val="20"/>
          <w:szCs w:val="20"/>
        </w:rPr>
        <w:t xml:space="preserve">stwierdził, iż realizacja postanowień ww. dokumentu nie spowoduje znaczącego oddziaływania na środowisko, w tym na obszary Natura 2000, zatem </w:t>
      </w:r>
      <w:r w:rsidR="009F1CC5" w:rsidRPr="009F1CC5">
        <w:rPr>
          <w:rFonts w:ascii="Arial" w:hAnsi="Arial" w:cs="Arial"/>
          <w:bCs/>
          <w:sz w:val="20"/>
          <w:szCs w:val="20"/>
        </w:rPr>
        <w:t>nie zachodzą przesłanki do przeprowadzenia strategicznej oceny oddziaływania na środowisko dla projektu dokumentu pn. „Strategia Rozwoju Gminy Starogard Gdański na lata 2023-2030”</w:t>
      </w:r>
      <w:r w:rsidR="009F1CC5" w:rsidRPr="009F1CC5">
        <w:rPr>
          <w:rFonts w:ascii="Arial" w:hAnsi="Arial" w:cs="Arial"/>
          <w:sz w:val="20"/>
          <w:szCs w:val="20"/>
        </w:rPr>
        <w:t>.</w:t>
      </w:r>
    </w:p>
    <w:p w14:paraId="06513882" w14:textId="7353A7FB" w:rsidR="00FA35F1" w:rsidRPr="009F1CC5" w:rsidRDefault="00FA35F1" w:rsidP="009F1CC5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W piśmie z dnia </w:t>
      </w:r>
      <w:r w:rsidR="009F1CC5" w:rsidRPr="009F1CC5">
        <w:rPr>
          <w:rFonts w:ascii="Arial" w:hAnsi="Arial" w:cs="Arial"/>
          <w:sz w:val="20"/>
          <w:szCs w:val="20"/>
        </w:rPr>
        <w:t xml:space="preserve">03.04.2024 </w:t>
      </w:r>
      <w:r w:rsidRPr="009F1CC5">
        <w:rPr>
          <w:rFonts w:ascii="Arial" w:hAnsi="Arial" w:cs="Arial"/>
          <w:sz w:val="20"/>
          <w:szCs w:val="20"/>
        </w:rPr>
        <w:t>r. (znak:</w:t>
      </w:r>
      <w:r w:rsidR="009F1CC5" w:rsidRPr="009F1CC5">
        <w:rPr>
          <w:rFonts w:ascii="Arial" w:hAnsi="Arial" w:cs="Arial"/>
          <w:sz w:val="20"/>
          <w:szCs w:val="20"/>
        </w:rPr>
        <w:t>ONS.9022.1.17.2024.AR</w:t>
      </w:r>
      <w:r w:rsidRPr="009F1CC5">
        <w:rPr>
          <w:rFonts w:ascii="Arial" w:hAnsi="Arial" w:cs="Arial"/>
          <w:sz w:val="20"/>
          <w:szCs w:val="20"/>
        </w:rPr>
        <w:t xml:space="preserve">) </w:t>
      </w:r>
      <w:r w:rsidR="009F1CC5" w:rsidRPr="009F1CC5">
        <w:rPr>
          <w:rFonts w:ascii="Arial" w:hAnsi="Arial" w:cs="Arial"/>
          <w:sz w:val="20"/>
          <w:szCs w:val="20"/>
        </w:rPr>
        <w:t xml:space="preserve">Pomorski </w:t>
      </w:r>
      <w:r w:rsidRPr="009F1CC5">
        <w:rPr>
          <w:rFonts w:ascii="Arial" w:hAnsi="Arial" w:cs="Arial"/>
          <w:sz w:val="20"/>
          <w:szCs w:val="20"/>
        </w:rPr>
        <w:t xml:space="preserve">Państwowy Wojewódzki Inspektor Sanitarny </w:t>
      </w:r>
      <w:r w:rsidR="009F1CC5" w:rsidRPr="009F1CC5">
        <w:rPr>
          <w:rFonts w:ascii="Arial" w:hAnsi="Arial" w:cs="Arial"/>
          <w:sz w:val="20"/>
          <w:szCs w:val="20"/>
        </w:rPr>
        <w:t>uzgodnił bez uwag zamiar odstąpienia od przeprowadzenia strategicznej oceny oddziaływania na środowisko dla projektu dokumentu pn.: „Strategia Rozwoju Gminy Starogard Gdański na lata 2023-2030”.</w:t>
      </w:r>
    </w:p>
    <w:p w14:paraId="74F194B6" w14:textId="2D0FF9CC" w:rsidR="00FA35F1" w:rsidRPr="009F1CC5" w:rsidRDefault="00FA35F1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Mając powyższe na uwadze stwierdza się odstąpienie od przeprowadzenia strategicznej oceny oddziaływania na środowisko dla projektu „</w:t>
      </w:r>
      <w:r w:rsidR="00E16441" w:rsidRPr="009F1CC5">
        <w:rPr>
          <w:rFonts w:ascii="Arial" w:hAnsi="Arial" w:cs="Arial"/>
          <w:sz w:val="20"/>
          <w:szCs w:val="20"/>
        </w:rPr>
        <w:t xml:space="preserve">Strategii Rozwoju </w:t>
      </w:r>
      <w:r w:rsidR="009F1CC5" w:rsidRPr="009F1CC5">
        <w:rPr>
          <w:rFonts w:ascii="Arial" w:hAnsi="Arial" w:cs="Arial"/>
          <w:sz w:val="20"/>
          <w:szCs w:val="20"/>
        </w:rPr>
        <w:t>Gminy Stargard Gdański na lata 2023-2030</w:t>
      </w:r>
      <w:r w:rsidRPr="009F1CC5">
        <w:rPr>
          <w:rFonts w:ascii="Arial" w:hAnsi="Arial" w:cs="Arial"/>
          <w:sz w:val="20"/>
          <w:szCs w:val="20"/>
        </w:rPr>
        <w:t>”.</w:t>
      </w:r>
    </w:p>
    <w:p w14:paraId="58EEDDCD" w14:textId="2DC2D835" w:rsidR="009F1CC5" w:rsidRPr="009F1CC5" w:rsidRDefault="009F1CC5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Ponadto zgodnie z art. 6 ust. 3 ustawy z dnia 6 grudnia 2006 r. o zasadach prowadzenia polityki rozwoju (Dz.U. z 2024 poz. 324) oraz uchwałą nr LIX/735/2023 Rady Gminy Starogard Gdański z dnia 19 października 2023 r. w sprawie przystąpienia do sporządzenia Strategii Rozwoju Gminy Starogard Gdański na lata 2023-2030 oraz określenia szczegółowego trybu i harmonogramu opracowania projektu strategii, w tym trybu konsultacji 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 xml:space="preserve">Wójt Gminy Starogard Gdański </w:t>
      </w:r>
      <w:r w:rsidRPr="009F1CC5">
        <w:rPr>
          <w:rFonts w:ascii="Arial" w:hAnsi="Arial" w:cs="Arial"/>
          <w:sz w:val="20"/>
          <w:szCs w:val="20"/>
        </w:rPr>
        <w:t xml:space="preserve">zaprosił 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>mieszkańców gminy, gminy sąsiednie i ich związki, lokalnych partnerów społecznych i gospodarczych oraz Dyrektora Regionalnego Zarządu Gospodarki Wodnej w Gdańsku do zapoznania się z projektem Strategii Rozwoju Gminy Starogard Gdański na lata 2023-2030 w ramach konsultacji społecznych.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>Konsultacje trwały od 20.03.2024 r. do 23.04.2024 r. Z konsultacji sporządzono odrębne sprawozdanie, które zamieszczono na stronie Gminy do wiadomości.</w:t>
      </w:r>
    </w:p>
    <w:p w14:paraId="72E300E0" w14:textId="21F4D890" w:rsidR="00FA35F1" w:rsidRPr="009F1CC5" w:rsidRDefault="00FA35F1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Niniejsze obwieszczenie zostaje podane do publicznej wiadomości poprzez ogłoszenie w Biuletynie Informacji Publicznej Urzędu </w:t>
      </w:r>
      <w:r w:rsidR="009F1CC5" w:rsidRPr="009F1CC5">
        <w:rPr>
          <w:rFonts w:ascii="Arial" w:hAnsi="Arial" w:cs="Arial"/>
          <w:sz w:val="20"/>
          <w:szCs w:val="20"/>
        </w:rPr>
        <w:t>Gminy Starogard Gdański</w:t>
      </w:r>
      <w:r w:rsidRPr="009F1CC5">
        <w:rPr>
          <w:rFonts w:ascii="Arial" w:hAnsi="Arial" w:cs="Arial"/>
          <w:sz w:val="20"/>
          <w:szCs w:val="20"/>
        </w:rPr>
        <w:t xml:space="preserve"> oraz na tablicy ogłoszeń w budynku Urzędu. Uzasadnienie odstąpienia od przeprowadzenia strategicznej oceny oddziaływania na środowisko dla projektu „</w:t>
      </w:r>
      <w:r w:rsidR="00E16441" w:rsidRPr="009F1CC5">
        <w:rPr>
          <w:rFonts w:ascii="Arial" w:hAnsi="Arial" w:cs="Arial"/>
          <w:sz w:val="20"/>
          <w:szCs w:val="20"/>
        </w:rPr>
        <w:t>Strategii Rozwoju</w:t>
      </w:r>
      <w:r w:rsidRPr="009F1CC5">
        <w:rPr>
          <w:rFonts w:ascii="Arial" w:hAnsi="Arial" w:cs="Arial"/>
          <w:sz w:val="20"/>
          <w:szCs w:val="20"/>
        </w:rPr>
        <w:t xml:space="preserve"> </w:t>
      </w:r>
      <w:r w:rsidR="009F1CC5" w:rsidRPr="009F1CC5">
        <w:rPr>
          <w:rFonts w:ascii="Arial" w:hAnsi="Arial" w:cs="Arial"/>
          <w:sz w:val="20"/>
          <w:szCs w:val="20"/>
        </w:rPr>
        <w:t>Gminy Starogard Gdański na lata 2023-2030</w:t>
      </w:r>
      <w:r w:rsidRPr="009F1CC5">
        <w:rPr>
          <w:rFonts w:ascii="Arial" w:hAnsi="Arial" w:cs="Arial"/>
          <w:sz w:val="20"/>
          <w:szCs w:val="20"/>
        </w:rPr>
        <w:t>” zamieszczono w załączniku do niniejszego obwieszczenia.</w:t>
      </w:r>
    </w:p>
    <w:p w14:paraId="1CFC4F6B" w14:textId="77777777" w:rsidR="00FA35F1" w:rsidRPr="009F1CC5" w:rsidRDefault="00FA35F1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br w:type="page"/>
      </w:r>
    </w:p>
    <w:p w14:paraId="09DA95C8" w14:textId="6D6F0A58" w:rsidR="00FA35F1" w:rsidRPr="009F1CC5" w:rsidRDefault="00FA35F1" w:rsidP="00FA35F1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9F1CC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Załącznik do obwieszczenia …z dnia </w:t>
      </w:r>
      <w:r w:rsidR="009F1CC5" w:rsidRPr="009F1CC5">
        <w:rPr>
          <w:rFonts w:ascii="Arial" w:hAnsi="Arial" w:cs="Arial"/>
          <w:color w:val="000000" w:themeColor="text1"/>
          <w:sz w:val="20"/>
          <w:szCs w:val="20"/>
        </w:rPr>
        <w:t>29.04.2024 r.</w:t>
      </w:r>
    </w:p>
    <w:p w14:paraId="21B0BD8D" w14:textId="77777777" w:rsidR="00FA35F1" w:rsidRPr="009F1CC5" w:rsidRDefault="00FA35F1" w:rsidP="00FA35F1">
      <w:pPr>
        <w:spacing w:before="120" w:after="120" w:line="276" w:lineRule="auto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647DED" w14:textId="29A078C8" w:rsidR="00FA35F1" w:rsidRPr="009F1CC5" w:rsidRDefault="00FA35F1" w:rsidP="00FA35F1">
      <w:pPr>
        <w:spacing w:before="120" w:after="120" w:line="276" w:lineRule="auto"/>
        <w:jc w:val="center"/>
        <w:outlineLvl w:val="0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</w:t>
      </w:r>
      <w:r w:rsidRPr="009F1CC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odstąpienia od przeprowadzenia strategicznej oceny oddziaływania na środowisko dla projektu </w:t>
      </w: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E16441" w:rsidRPr="009F1CC5">
        <w:rPr>
          <w:rFonts w:ascii="Arial" w:hAnsi="Arial" w:cs="Arial"/>
          <w:b/>
          <w:color w:val="000000" w:themeColor="text1"/>
          <w:sz w:val="20"/>
          <w:szCs w:val="20"/>
        </w:rPr>
        <w:t>Strategii Rozwoju</w:t>
      </w: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F1CC5" w:rsidRPr="009F1CC5">
        <w:rPr>
          <w:rFonts w:ascii="Arial" w:hAnsi="Arial" w:cs="Arial"/>
          <w:b/>
          <w:color w:val="000000" w:themeColor="text1"/>
          <w:sz w:val="20"/>
          <w:szCs w:val="20"/>
        </w:rPr>
        <w:t>Gminy Starogard Gdański na lata 2023-2030</w:t>
      </w:r>
      <w:r w:rsidRPr="009F1CC5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6E3FAD4F" w14:textId="77777777" w:rsidR="00FA35F1" w:rsidRPr="009F1CC5" w:rsidRDefault="00FA35F1" w:rsidP="00FA35F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E8A317" w14:textId="3205606B" w:rsidR="00FA35F1" w:rsidRDefault="00FA35F1" w:rsidP="00FA35F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1CC5">
        <w:rPr>
          <w:rFonts w:ascii="Arial" w:hAnsi="Arial" w:cs="Arial"/>
          <w:color w:val="000000" w:themeColor="text1"/>
          <w:sz w:val="20"/>
          <w:szCs w:val="20"/>
        </w:rPr>
        <w:t>Sporządzono na podstawie art. 49 ustawy z dnia 3 października 2008 r. o udostępnianiu informacji o środowisku i jego ochronie, udziale społeczeństwa w ochronie środowiska oraz o ocenach oddziaływania na środowisko (Dz.U. 202</w:t>
      </w:r>
      <w:r w:rsidR="009F1CC5">
        <w:rPr>
          <w:rFonts w:ascii="Arial" w:hAnsi="Arial" w:cs="Arial"/>
          <w:color w:val="000000" w:themeColor="text1"/>
          <w:sz w:val="20"/>
          <w:szCs w:val="20"/>
        </w:rPr>
        <w:t>3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 xml:space="preserve"> poz. 109</w:t>
      </w:r>
      <w:r w:rsidR="009F1CC5">
        <w:rPr>
          <w:rFonts w:ascii="Arial" w:hAnsi="Arial" w:cs="Arial"/>
          <w:color w:val="000000" w:themeColor="text1"/>
          <w:sz w:val="20"/>
          <w:szCs w:val="20"/>
        </w:rPr>
        <w:t>4</w:t>
      </w:r>
      <w:r w:rsidRPr="009F1CC5">
        <w:rPr>
          <w:rFonts w:ascii="Arial" w:hAnsi="Arial" w:cs="Arial"/>
          <w:color w:val="000000" w:themeColor="text1"/>
          <w:sz w:val="20"/>
          <w:szCs w:val="20"/>
        </w:rPr>
        <w:t xml:space="preserve"> ze zm.)</w:t>
      </w:r>
    </w:p>
    <w:p w14:paraId="189E9C15" w14:textId="77777777" w:rsidR="009F1CC5" w:rsidRPr="009F1CC5" w:rsidRDefault="009F1CC5" w:rsidP="009F1CC5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F1CC5">
        <w:rPr>
          <w:rFonts w:ascii="Arial" w:hAnsi="Arial" w:cs="Arial"/>
          <w:b/>
          <w:sz w:val="20"/>
          <w:szCs w:val="20"/>
        </w:rPr>
        <w:t>charakter działań przewidzianych w dokumentach, o których mowa w art. 46 i 47 Ustawy</w:t>
      </w:r>
    </w:p>
    <w:p w14:paraId="17D68987" w14:textId="77777777" w:rsidR="009F1CC5" w:rsidRPr="009F1CC5" w:rsidRDefault="009F1CC5" w:rsidP="009F1CC5">
      <w:pPr>
        <w:spacing w:before="120" w:after="120" w:line="276" w:lineRule="auto"/>
        <w:ind w:right="-6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/>
          <w:sz w:val="20"/>
          <w:szCs w:val="20"/>
          <w:lang w:eastAsia="en-US"/>
        </w:rPr>
        <w:t>Zgodnie z</w:t>
      </w:r>
      <w:r w:rsidRPr="009F1CC5">
        <w:rPr>
          <w:rFonts w:ascii="Arial" w:hAnsi="Arial" w:cs="Arial"/>
          <w:sz w:val="20"/>
          <w:szCs w:val="20"/>
          <w:lang w:eastAsia="en-US"/>
        </w:rPr>
        <w:t xml:space="preserve"> art. 10e. pkt 3 ustawy z dnia 8 marca 1990 r. o samorządzie gminnym (Dz.U. 2023 poz. 40 ze zm.), projekt Strategii Rozwoju Gminy </w:t>
      </w:r>
      <w:bookmarkStart w:id="1" w:name="_Hlk162010852"/>
      <w:r w:rsidRPr="009F1CC5">
        <w:rPr>
          <w:rFonts w:ascii="Arial" w:hAnsi="Arial" w:cs="Arial"/>
          <w:sz w:val="20"/>
          <w:szCs w:val="20"/>
          <w:lang w:eastAsia="en-US"/>
        </w:rPr>
        <w:t xml:space="preserve">Starogard Gdański na lata 2023-2030 </w:t>
      </w:r>
      <w:bookmarkEnd w:id="1"/>
      <w:r w:rsidRPr="009F1CC5">
        <w:rPr>
          <w:rFonts w:ascii="Arial" w:hAnsi="Arial" w:cs="Arial"/>
          <w:sz w:val="20"/>
          <w:szCs w:val="20"/>
          <w:lang w:eastAsia="en-US"/>
        </w:rPr>
        <w:t>zawiera wnioski z diagnozy, o której mowa w art.10a ust.1 ustawy z dnia 6 grudnia 2006 r. o zasadach prowadzenia polityki rozwoju (Dz.U. 2024 poz. 324), przygotowanej na potrzeby tej strategii oraz:</w:t>
      </w:r>
    </w:p>
    <w:p w14:paraId="1C66C6DA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cele strategiczne rozwoju w wymiarze społecznym, gospodarczym i przestrzennym</w:t>
      </w:r>
    </w:p>
    <w:p w14:paraId="2DE765A0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kierunki działań podejmowanych dla osiągnięcia celów strategicznych</w:t>
      </w:r>
    </w:p>
    <w:p w14:paraId="21326918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oczekiwane rezultaty planowanych działań, w tym w wymiarze przestrzennym, oraz wskaźniki ich osiągnięcia</w:t>
      </w:r>
    </w:p>
    <w:p w14:paraId="25F67983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model struktury funkcjonalno-przestrzennej gminy</w:t>
      </w:r>
    </w:p>
    <w:p w14:paraId="7BA06E7A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ustalenia i rekomendacje w zakresie kształtowania i prowadzenia polityki przestrzennej</w:t>
      </w:r>
    </w:p>
    <w:p w14:paraId="54BB40FF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obszary strategicznej interwencji określone w strategii rozwoju województwa wraz z zakresem planowanych działań</w:t>
      </w:r>
    </w:p>
    <w:p w14:paraId="2EB94816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obszary strategicznej interwencji kluczowe dla gminy, jeżeli takie zidentyfikowano, wraz z zakresem planowanych działań</w:t>
      </w:r>
    </w:p>
    <w:p w14:paraId="150F387B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system realizacji strategii, w tym wytyczne do sporządzania dokumentów wykonawczych</w:t>
      </w:r>
    </w:p>
    <w:p w14:paraId="03F67AEA" w14:textId="77777777" w:rsidR="009F1CC5" w:rsidRPr="009F1CC5" w:rsidRDefault="009F1CC5" w:rsidP="009F1CC5">
      <w:pPr>
        <w:numPr>
          <w:ilvl w:val="0"/>
          <w:numId w:val="7"/>
        </w:numPr>
        <w:spacing w:before="120" w:after="120" w:line="264" w:lineRule="atLeast"/>
        <w:ind w:left="357" w:right="-6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9F1CC5">
        <w:rPr>
          <w:rFonts w:ascii="Arial" w:hAnsi="Arial" w:cs="Arial"/>
          <w:sz w:val="20"/>
          <w:szCs w:val="20"/>
          <w:lang w:eastAsia="en-US"/>
        </w:rPr>
        <w:t>ramy finansowe i źródła finansowania</w:t>
      </w:r>
    </w:p>
    <w:p w14:paraId="21D60746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>Cele strategiczne posiadają charakter ogólny, w ramach których określono cele operacyjne i możliwe do realizacji kierunki działań w perspektywie do 2030 r.</w:t>
      </w:r>
    </w:p>
    <w:p w14:paraId="2AE1DEF9" w14:textId="77777777" w:rsidR="009F1CC5" w:rsidRPr="009F1CC5" w:rsidRDefault="009F1CC5" w:rsidP="009F1CC5">
      <w:pPr>
        <w:numPr>
          <w:ilvl w:val="0"/>
          <w:numId w:val="9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stopień, w jakim dokument ustala ramy dla późniejszej realizacji przedsięwzięć </w:t>
      </w:r>
      <w:r w:rsidRPr="009F1CC5">
        <w:rPr>
          <w:rFonts w:ascii="Arial" w:hAnsi="Arial" w:cs="Arial"/>
          <w:b/>
          <w:color w:val="000000"/>
          <w:sz w:val="20"/>
          <w:szCs w:val="20"/>
        </w:rPr>
        <w:br/>
        <w:t>w odniesieniu do usytuowania, rodzaju i skali tych przedsięwzięć</w:t>
      </w:r>
    </w:p>
    <w:p w14:paraId="3633C86E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Projekt Strategii wyznacza szerokie ramy dla przyszłych przedsięwzięć. Strategia obejmuje perspektywę do 2030 r. i określa kierunki działań obejmujące m.in. rozbudowę infrastruktury drogowej i okołodrogowej oraz infrastruktury technicznej. Projekt Strategii Rozwoju nie zawiera szczegółowych inwestycji, w tym nie określa zakresu ani lokalizacji przyszłej infrastruktury czy obiektów. Działania wynikające z założeń strategicznych będą realizowane w granicach administracyjnych jednej gminy, tj. gminy Starogard Gdański, a realizacja postanowień projektu Strategii nie spowoduje znaczącego oddziaływania na środowisko, w tym na obszary Natura 2000.</w:t>
      </w:r>
    </w:p>
    <w:p w14:paraId="7B9CF2DB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>W przypadku realizacji inwestycji mogących znacząco oddziaływać na środowisko wnioskodawca/inwestor będzie zobowiązany do uzyskania uprzednio decyzji o środowiskowych uwarunkowaniach.</w:t>
      </w:r>
    </w:p>
    <w:p w14:paraId="4F1DC607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>Zaplanowane działania mają na celu ożywienie społeczno-gospodarcze i ich realizacja nie spowoduje negatywnego wpływu na komponenty środowiska.</w:t>
      </w:r>
      <w:r w:rsidRPr="009F1CC5">
        <w:t xml:space="preserve"> </w:t>
      </w:r>
      <w:r w:rsidRPr="009F1CC5">
        <w:rPr>
          <w:rFonts w:ascii="Arial" w:hAnsi="Arial" w:cs="Arial"/>
          <w:color w:val="000000"/>
          <w:sz w:val="20"/>
          <w:szCs w:val="20"/>
        </w:rPr>
        <w:t>Zadania będą realizowane z najwyższą ostrożnością i poszanowaniem środowiska naturalnego, z uwzględnieniem właściwych przepisów prawnych, konsultacji, opinii i analiz wpływu lokalizacji oraz wpływu funkcjonowania inwestycji na zdrowie i życie ludzi oraz środowisko naturalne.</w:t>
      </w:r>
    </w:p>
    <w:p w14:paraId="4442C7CB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lastRenderedPageBreak/>
        <w:t xml:space="preserve">Poniżej zaprezentowano zaplanowane cele w ramach Strategii Rozwoju </w:t>
      </w:r>
      <w:r w:rsidRPr="009F1CC5">
        <w:rPr>
          <w:rFonts w:ascii="Arial" w:hAnsi="Arial"/>
          <w:sz w:val="20"/>
          <w:szCs w:val="20"/>
          <w:lang w:eastAsia="en-US"/>
        </w:rPr>
        <w:t>Gminy Starogard Gdański na lata 2023-2030</w:t>
      </w:r>
      <w:r w:rsidRPr="009F1CC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2978"/>
        <w:gridCol w:w="4378"/>
      </w:tblGrid>
      <w:tr w:rsidR="009F1CC5" w:rsidRPr="009F1CC5" w14:paraId="2A07CBD4" w14:textId="77777777" w:rsidTr="008A4C1E">
        <w:trPr>
          <w:tblHeader/>
          <w:jc w:val="center"/>
        </w:trPr>
        <w:tc>
          <w:tcPr>
            <w:tcW w:w="932" w:type="pct"/>
            <w:shd w:val="clear" w:color="auto" w:fill="BFBFBF" w:themeFill="background1" w:themeFillShade="BF"/>
            <w:vAlign w:val="center"/>
          </w:tcPr>
          <w:p w14:paraId="44E0FF76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Wymiar</w:t>
            </w:r>
          </w:p>
        </w:tc>
        <w:tc>
          <w:tcPr>
            <w:tcW w:w="1646" w:type="pct"/>
            <w:shd w:val="clear" w:color="auto" w:fill="BFBFBF" w:themeFill="background1" w:themeFillShade="BF"/>
            <w:vAlign w:val="center"/>
          </w:tcPr>
          <w:p w14:paraId="06B5202C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Cel strategiczny</w:t>
            </w:r>
          </w:p>
        </w:tc>
        <w:tc>
          <w:tcPr>
            <w:tcW w:w="2421" w:type="pct"/>
            <w:shd w:val="clear" w:color="auto" w:fill="BFBFBF" w:themeFill="background1" w:themeFillShade="BF"/>
            <w:vAlign w:val="center"/>
          </w:tcPr>
          <w:p w14:paraId="6D9FE45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Cele operacyjne</w:t>
            </w:r>
          </w:p>
        </w:tc>
      </w:tr>
      <w:tr w:rsidR="009F1CC5" w:rsidRPr="009F1CC5" w14:paraId="70E11556" w14:textId="77777777" w:rsidTr="008A4C1E">
        <w:trPr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08233EFD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Społeczny</w:t>
            </w:r>
          </w:p>
        </w:tc>
        <w:tc>
          <w:tcPr>
            <w:tcW w:w="1646" w:type="pct"/>
            <w:vMerge w:val="restart"/>
            <w:shd w:val="clear" w:color="auto" w:fill="auto"/>
            <w:vAlign w:val="center"/>
          </w:tcPr>
          <w:p w14:paraId="4B342183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1. Wysoka jakość życia mieszkańców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29F681DF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1.1. Dobra dostępność do usług społecznych i kultury</w:t>
            </w:r>
          </w:p>
        </w:tc>
      </w:tr>
      <w:tr w:rsidR="009F1CC5" w:rsidRPr="009F1CC5" w14:paraId="105992F2" w14:textId="77777777" w:rsidTr="008A4C1E">
        <w:trPr>
          <w:trHeight w:val="59"/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05FC6F7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404CFF5F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64EDC2DD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1.2. Rozwinięta infrastruktura mieszkaniowa</w:t>
            </w:r>
          </w:p>
        </w:tc>
      </w:tr>
      <w:tr w:rsidR="009F1CC5" w:rsidRPr="009F1CC5" w14:paraId="2175D672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57670EA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27A9F41C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3E06AF0A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1.3. Aktywne społeczeństwo, które nie jest wykluczone społecznie</w:t>
            </w:r>
          </w:p>
        </w:tc>
      </w:tr>
      <w:tr w:rsidR="009F1CC5" w:rsidRPr="009F1CC5" w14:paraId="6AA7B5FF" w14:textId="77777777" w:rsidTr="008A4C1E">
        <w:trPr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40B095A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Gospodarczy</w:t>
            </w:r>
          </w:p>
        </w:tc>
        <w:tc>
          <w:tcPr>
            <w:tcW w:w="1646" w:type="pct"/>
            <w:vMerge w:val="restart"/>
            <w:shd w:val="clear" w:color="auto" w:fill="auto"/>
            <w:vAlign w:val="center"/>
          </w:tcPr>
          <w:p w14:paraId="5169F106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2. Zrównoważony rozwój lokalnej gospodarki 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68504659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</w:t>
            </w: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.1. Rozwinięta infrastruktura drogowa i okołodrogowa wspierająca rozwój gospodarczy </w:t>
            </w:r>
          </w:p>
        </w:tc>
      </w:tr>
      <w:tr w:rsidR="009F1CC5" w:rsidRPr="009F1CC5" w14:paraId="5B1BABF6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3EFDE68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2D81C2A7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661552F0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2.2. Oferta inwestycyjna gminy o wysokim potencjale</w:t>
            </w:r>
          </w:p>
        </w:tc>
      </w:tr>
      <w:tr w:rsidR="009F1CC5" w:rsidRPr="009F1CC5" w14:paraId="039BD1CF" w14:textId="77777777" w:rsidTr="008A4C1E">
        <w:trPr>
          <w:jc w:val="center"/>
        </w:trPr>
        <w:tc>
          <w:tcPr>
            <w:tcW w:w="932" w:type="pct"/>
            <w:vMerge w:val="restart"/>
            <w:shd w:val="clear" w:color="auto" w:fill="auto"/>
            <w:vAlign w:val="center"/>
          </w:tcPr>
          <w:p w14:paraId="4FA0CFFD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Przestrzenny</w:t>
            </w:r>
          </w:p>
        </w:tc>
        <w:tc>
          <w:tcPr>
            <w:tcW w:w="1646" w:type="pct"/>
            <w:vMerge w:val="restart"/>
            <w:shd w:val="clear" w:color="auto" w:fill="auto"/>
            <w:vAlign w:val="center"/>
          </w:tcPr>
          <w:p w14:paraId="6757EBA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 Dobry stan środowiska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32F88890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3.1. Nowoczesna infrastruktura wodno-ściekowa</w:t>
            </w:r>
          </w:p>
        </w:tc>
      </w:tr>
      <w:tr w:rsidR="009F1CC5" w:rsidRPr="009F1CC5" w14:paraId="45A70A23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0BCCAF58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466F7ED6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3E61B69A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3.2. Dobra jakość powietrza</w:t>
            </w:r>
          </w:p>
        </w:tc>
      </w:tr>
      <w:tr w:rsidR="009F1CC5" w:rsidRPr="009F1CC5" w14:paraId="57404AAD" w14:textId="77777777" w:rsidTr="008A4C1E">
        <w:trPr>
          <w:jc w:val="center"/>
        </w:trPr>
        <w:tc>
          <w:tcPr>
            <w:tcW w:w="932" w:type="pct"/>
            <w:vMerge/>
            <w:shd w:val="clear" w:color="auto" w:fill="auto"/>
            <w:vAlign w:val="center"/>
          </w:tcPr>
          <w:p w14:paraId="343CB28A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14:paraId="179A1919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0DC19A12" w14:textId="77777777" w:rsidR="009F1CC5" w:rsidRPr="009F1CC5" w:rsidRDefault="009F1CC5" w:rsidP="009F1CC5">
            <w:pPr>
              <w:spacing w:before="60" w:after="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1C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3.3. Dobry stan wód</w:t>
            </w:r>
          </w:p>
        </w:tc>
      </w:tr>
    </w:tbl>
    <w:p w14:paraId="7271C177" w14:textId="77777777" w:rsidR="009F1CC5" w:rsidRPr="009F1CC5" w:rsidRDefault="009F1CC5" w:rsidP="009F1CC5">
      <w:pPr>
        <w:spacing w:after="160" w:line="259" w:lineRule="auto"/>
        <w:rPr>
          <w:rFonts w:ascii="Arial" w:hAnsi="Arial"/>
          <w:sz w:val="20"/>
          <w:szCs w:val="20"/>
          <w:highlight w:val="yellow"/>
          <w:lang w:eastAsia="en-US"/>
        </w:rPr>
      </w:pPr>
    </w:p>
    <w:p w14:paraId="1117DDFB" w14:textId="77777777" w:rsidR="009F1CC5" w:rsidRPr="009F1CC5" w:rsidRDefault="009F1CC5" w:rsidP="009F1CC5">
      <w:pPr>
        <w:numPr>
          <w:ilvl w:val="0"/>
          <w:numId w:val="9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powiązania z działaniami przewidzianymi w innych dokumentach </w:t>
      </w:r>
    </w:p>
    <w:p w14:paraId="5BABAFB0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Cele przyjęte w Strategii Rozwoju określono, biorąc pod uwagę założenia obowiązujących dokumentów strategicznych wyższego rzędu, m.in.:</w:t>
      </w:r>
    </w:p>
    <w:p w14:paraId="647FD40B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Strategii na rzecz Odpowiedzialnego Rozwoju do roku 2020 (z perspektywą do 2030 r.),</w:t>
      </w:r>
    </w:p>
    <w:p w14:paraId="16F6936C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Krajowej Strategii Rozwoju Regionalnego 2030,</w:t>
      </w:r>
    </w:p>
    <w:p w14:paraId="0C825F85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Strategii Zrównoważonego Rozwoju Transportu do 2030 r.,</w:t>
      </w:r>
    </w:p>
    <w:p w14:paraId="00971729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Krajowego Programu Ochrony Zabytków i Opieki nad Zabytkami na lata 2023-2026,</w:t>
      </w:r>
    </w:p>
    <w:p w14:paraId="3F6028F5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Polityki Energetycznej Polski 2040,</w:t>
      </w:r>
    </w:p>
    <w:p w14:paraId="67100729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Strategii Rozwoju Województwa Pomorskiego 2030,</w:t>
      </w:r>
    </w:p>
    <w:p w14:paraId="6CEF9220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Planu zagospodarowania przestrzennego województwa pomorskiego 2030,</w:t>
      </w:r>
    </w:p>
    <w:p w14:paraId="3DC5B47C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Programu ochrony powietrza,</w:t>
      </w:r>
    </w:p>
    <w:p w14:paraId="64A9D163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Programu ochrony środowiska przed hałasem</w:t>
      </w:r>
    </w:p>
    <w:p w14:paraId="61D2A2B9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Planu zrównoważonego rozwoju publicznego transportu zbiorowego dla województwa pomorskiego,</w:t>
      </w:r>
    </w:p>
    <w:p w14:paraId="68B9724A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Uchwały antysmogowej,</w:t>
      </w:r>
    </w:p>
    <w:p w14:paraId="2D626DFB" w14:textId="77777777" w:rsidR="009F1CC5" w:rsidRPr="009F1CC5" w:rsidRDefault="009F1CC5" w:rsidP="009F1CC5">
      <w:pPr>
        <w:numPr>
          <w:ilvl w:val="0"/>
          <w:numId w:val="2"/>
        </w:numPr>
        <w:spacing w:before="120" w:after="120" w:line="276" w:lineRule="auto"/>
        <w:ind w:left="357" w:right="-6" w:hanging="357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Aktualizacji Założeń do planu zaopatrzenia w ciepło, energię elektryczną i paliwa gazowe dla Gminy Starogard Gdański.</w:t>
      </w:r>
    </w:p>
    <w:p w14:paraId="3421FBA5" w14:textId="77777777" w:rsidR="009F1CC5" w:rsidRPr="009F1CC5" w:rsidRDefault="009F1CC5" w:rsidP="009F1CC5">
      <w:pPr>
        <w:numPr>
          <w:ilvl w:val="0"/>
          <w:numId w:val="9"/>
        </w:numPr>
        <w:spacing w:before="120" w:after="120" w:line="276" w:lineRule="auto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przydatność w uwzględnieniu aspektów środowiskowych, w szczególności w celu wspierania zrównoważonego rozwoju oraz we wdrażaniu prawa wspólnotowego </w:t>
      </w:r>
      <w:r w:rsidRPr="009F1CC5">
        <w:rPr>
          <w:rFonts w:ascii="Arial" w:hAnsi="Arial" w:cs="Arial"/>
          <w:b/>
          <w:color w:val="000000"/>
          <w:sz w:val="20"/>
          <w:szCs w:val="20"/>
        </w:rPr>
        <w:br/>
        <w:t xml:space="preserve">w dziedzinie ochrony środowiska </w:t>
      </w:r>
    </w:p>
    <w:p w14:paraId="16BFAB08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 xml:space="preserve">Zrównoważony rozwój definiuje się jako rozwój społeczno-gospodarczy, w którym następuje integrowanie działań mających na celu wzrost gospodarczy oraz działań społecznych, z zachowaniem równowagi przyrodniczej i trwałości podstawowych procesów przyrodniczych w celu zagwarantowania możliwości zaspokajania potrzeb społeczności lub obywateli, zarówno współczesnego, jak i przyszłych </w:t>
      </w:r>
      <w:r w:rsidRPr="009F1CC5">
        <w:rPr>
          <w:rFonts w:ascii="Arial" w:hAnsi="Arial" w:cs="Arial"/>
          <w:color w:val="000000"/>
          <w:sz w:val="20"/>
          <w:szCs w:val="20"/>
        </w:rPr>
        <w:lastRenderedPageBreak/>
        <w:t xml:space="preserve">pokoleń. Przedmiotowy dokument wskazuje cele i kierunki działań w sferze społeczno-gospodarczej, technicznej oraz przestrzenno-funkcjonalnej. Wskazane działania ściśle korelują z założeniami zrównoważonego rozwoju w aspekcie ochrony środowiska oraz wypełniają zobowiązania w stosunku do regulacji prawnych Unii Europejskiej. </w:t>
      </w:r>
    </w:p>
    <w:p w14:paraId="52110D53" w14:textId="77777777" w:rsidR="009F1CC5" w:rsidRPr="009F1CC5" w:rsidRDefault="009F1CC5" w:rsidP="009F1CC5">
      <w:pPr>
        <w:numPr>
          <w:ilvl w:val="0"/>
          <w:numId w:val="9"/>
        </w:num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powiązania z problemami dotyczącymi ochrony środowiska </w:t>
      </w:r>
    </w:p>
    <w:p w14:paraId="73390490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  <w:lang w:eastAsia="en-US"/>
        </w:rPr>
        <w:t>W projekcie</w:t>
      </w:r>
      <w:r w:rsidRPr="009F1CC5">
        <w:rPr>
          <w:sz w:val="22"/>
          <w:szCs w:val="20"/>
          <w:lang w:eastAsia="en-US"/>
        </w:rPr>
        <w:t xml:space="preserve"> </w:t>
      </w:r>
      <w:r w:rsidRPr="009F1CC5">
        <w:rPr>
          <w:rFonts w:ascii="Arial" w:hAnsi="Arial" w:cs="Arial"/>
          <w:color w:val="000000"/>
          <w:sz w:val="20"/>
          <w:szCs w:val="20"/>
          <w:lang w:eastAsia="en-US"/>
        </w:rPr>
        <w:t xml:space="preserve">Strategii Rozwoju Gminy przewidziano cel strategiczny, który jest ściśle powiązany z problemami dotyczącymi ochrony środowiska. Jest to cel 3: </w:t>
      </w: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>Dobry stan środowiska,</w:t>
      </w:r>
      <w:r w:rsidRPr="009F1CC5">
        <w:rPr>
          <w:rFonts w:ascii="Arial" w:hAnsi="Arial" w:cs="Arial"/>
          <w:color w:val="000000"/>
          <w:sz w:val="20"/>
          <w:szCs w:val="20"/>
        </w:rPr>
        <w:t xml:space="preserve"> w ramach którego uwzględniono działania z zakresu infrastruktury wodno-kanalizacyjnej, wzrostu wykorzystania odnawialnych źródeł energii, poprawy efektywności energetycznej budynków mieszkalnych i obiektów użyteczności publicznej oraz zmniejszenia zanieczyszczenia wód azotanami pochodzącymi ze źródeł rolniczych oraz zapobiegania dalszemu zanieczyszczeniu.</w:t>
      </w:r>
    </w:p>
    <w:p w14:paraId="6D70F93A" w14:textId="77777777" w:rsidR="009F1CC5" w:rsidRPr="009F1CC5" w:rsidRDefault="009F1CC5" w:rsidP="009F1CC5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</w:rPr>
        <w:t xml:space="preserve">rodzaj i skalę oddziaływania na środowisko, w szczególności: </w:t>
      </w:r>
    </w:p>
    <w:p w14:paraId="22161C16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</w:rPr>
        <w:t>Charakter planowanych działań, rodzaj i skala oddziaływań na środowisko oraz cechy obszaru objętego spodziewanym oddziaływaniem powodują, że realizacja zadań proponowanych w Strategii nie powoduje znaczącego negatywnego oddziaływania na środowisko.</w:t>
      </w:r>
    </w:p>
    <w:p w14:paraId="45402EC4" w14:textId="77777777" w:rsidR="009F1CC5" w:rsidRPr="009F1CC5" w:rsidRDefault="009F1CC5" w:rsidP="009F1CC5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prawdopodobieństwo wystąpienia, czas trwania, zasięg, częstotliwość i odwracalność oddziaływań </w:t>
      </w:r>
    </w:p>
    <w:p w14:paraId="4A4EE693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 xml:space="preserve">Prawdopodobieństwo występowania oddziaływań wydaje się być niewielkie. Realizacja założeń strategicznych będzie rozłożona w czasie i przestrzeni. Oddziaływanie będzie miało charakter krótkoterminowy, a uciążliwości mogą wynikać jedynie z prowadzanych robót budowalnych. </w:t>
      </w:r>
      <w:r w:rsidRPr="009F1CC5">
        <w:rPr>
          <w:rFonts w:ascii="Arial" w:hAnsi="Arial" w:cs="Arial"/>
          <w:sz w:val="20"/>
          <w:szCs w:val="20"/>
        </w:rPr>
        <w:t xml:space="preserve">Realizacja założeń strategicznych wpłynie na poprawę stanu środowiska, bowiem określone zostały działania zmierzające do zwiększenia efektywności energetycznej budynków, wzrostu wykorzystania odnawialnych źródeł energii, a tym samym poprawy jakości powietrza. Wśród działań z zakresu rozwoju infrastruktury drogowej i okołodrogowej oraz infrastruktury technicznej, mogą wystąpić takie, które będą stanowić przedsięwzięcia mogące potencjalnie znacząco oddziaływać na środowisko. Wszystkie przedsięwzięcia będą realizowane zgodnie z zasadą zrównoważonego rozwoju, w oparciu o uzgodnienia z właściwymi organami, w przypadku konieczności ich uzyskania. </w:t>
      </w:r>
    </w:p>
    <w:p w14:paraId="4FF07948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Oddziaływanie, które może wystąpić w wyniku realizacji założeń Strategii, będzie krótkotrwałe i dotyczy okresu wykonywania prac budowlanych, zasięg oddziaływań ogranicza się do placu budowy oraz miejsc przechowywania materiałów i sprzętu budowlanego. Oddziaływania są odwracalne i ustąpią w chwili zakończenia prac budowlanych. Po ich wykonaniu tereny zostaną przywrócone do stanu pierwotnego, a ewentualne wycinki drzew i krzewów zostaną skompensowane nowymi nasadzeniami.</w:t>
      </w:r>
    </w:p>
    <w:p w14:paraId="57699DDD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 xml:space="preserve">Wystąpienie oddziaływań na środowisko związane jest z realizacją prac budowlanych, w wyniku których powstanie nowa bądź przebudowana zostanie dotychczasowa infrastruktura i obiekty. Oddziaływanie na środowisko, które wystąpi w fazie realizacji przedsięwzięć, można scharakteryzować jak chwilowe, nieciągłe, o niewielkim natężeniu, skoncentrowane w granicach placu budowy obiektów i wzdłuż trasy realizacji inwestycji liniowych. Oddziaływanie nie przekroczy standardów jakości środowiska poza granicami terenu, na którym będą prowadzone prace. W trakcie realizacji zadań planuje się prowadzenie robót budowlanych wyłącznie w porze dziennej dla zminimalizowania wpływu hałasu na otoczenie pochodzącego z pracy maszyn budowlanych. Wzrost emisji spalin z wykorzystywanych maszyn budowlanych nie przekroczy dopuszczalnych norm. Na etapie prac budowlanych nieunikniona jest ingerencja w pokrywę glebową. Działanie to jest niezbędne lecz nie spowoduje pogorszenia stanu środowiska. Podczas realizacji inwestycji liniowych przestrzegane powinny być zapisy art. 87a ust. 1 ustawy o ochronie przyrody. Prace ziemne w obrębie korzeni, pnia lub korony drzewa lub w obrębie korzeni lub pędów krzewu przeprowadzane powinny być w sposób najmniej szkodzący drzewom lub krzewom. Sprzęt i materiały wykorzystywane do przeprowadzenia prac spełniać będą odpowiednie normy jakościowe i środowiskowe. Prace odbywać się będą poza okresem lęgowym ptaków, rozrodu płazów. </w:t>
      </w:r>
    </w:p>
    <w:p w14:paraId="09DA17E8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lastRenderedPageBreak/>
        <w:t>Realizacja przyszłych inwestycji ani etap eksploatacji powstałej infrastruktury nie wpłynie negatywnie na obszary chronione, w szczególności na siedliska przyrodnicze, gatunki zwierząt i roślin oraz ich siedliska, dla ochrony których zostały wyznaczone obszary Natura 2000, ani pogorszenia integralności obszarów Natura 2000 lub powiązania z innymi obszarami. W celu uniknięcia nieumyślnego niszczenia siedlisk gatunków przed przystąpieniem do realizacji zadań należy dokonać obserwacji pod kątem występowania gatunków chronionych. Należy unikać prowadzenia prac w okresie lęgowym oraz rozrodczym zwierząt. Powinno się również umożliwić ptakom gniazdowanie, np. poprzez powieszenie budek lęgowych lub pozostawienie/stworzenie miejsc korzystnych do zakładania gniazd. Należy również dołożyć wszelkiej staranności, aby w trakcie prac budowlanych zapobiegać niekontrolowanemu zmniejszaniu populacji zwierząt żyjących na danym terenie. Realizacja zadań z zakresu infrastruktury liniowej powinna zostać poprzedzona odpowiednią organizacją. Wykorzystywanie sprzętu spełniającego odpowiednie normy i prowadzenia prac zgodnie z przepisami, przyczyni się do zmniejszenia emisji szkodliwych substancji. Kompensacja przyrodnicza w przypadku realizacji inwestycji drogowych związana jest z prowadzeniem nasadzeń zieleni wzdłuż ciągów komunikacyjnych. W celu minimalizacji ewentualnego negatywnego oddziaływania wycinki drzew na ptaki, ich przeprowadzenie powinno być zaplanowane poza sezonem lęgowym. Inwestycje zostaną zaplanowane ze szczególnym uwzględnieniem i troską o występujące wartościowe obiekty i tereny. W przypadku zaistnienia takiej konieczności, podjęte zostaną działania mające na celu kompensację powstałych szkód poprzez podejmowanie równoważących je działań, prowadzące do przywrócenia równowagi przyrodniczej na danym terenie, wyrównania szkód dokonanych w środowisku przez realizację przedsięwzięcia oraz do zachowania walorów krajobrazowych (np. sadzenie drzew, objęcie opieką stanowisk zagrożonych gatunków roślin i zwierząt, budowa schronień dla ptaków).</w:t>
      </w:r>
    </w:p>
    <w:p w14:paraId="0ED3D2FC" w14:textId="77777777" w:rsidR="009F1CC5" w:rsidRPr="009F1CC5" w:rsidRDefault="009F1CC5" w:rsidP="009F1CC5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>prawdopodobieństwo wystąpienia oddziaływań skumulowanych lub transgranicznych</w:t>
      </w:r>
    </w:p>
    <w:p w14:paraId="6F51CDC2" w14:textId="77777777" w:rsidR="009F1CC5" w:rsidRPr="009F1CC5" w:rsidRDefault="009F1CC5" w:rsidP="009F1C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Oddziaływania skumulowane mogą wystąpić w przypadku jednoczesnego wdrażania kilku zadań przewidzianych do realizacji w ramach Strategii. Jest to jednak kwestia uzależniona od harmonogramu prowadzonych robót i na obecnym etapie trudna do zidentyfikowania. Aby uniknąć uciążliwości związanych z oddziaływaniami skumulowanymi, należy dokładnie ustalić harmonogram prac oraz na bieżąco informować z określonym wyprzedzeniem zainteresowane strony (tj. mieszkańców, administratorów sieci infrastrukturalnych) o zamiarze prowadzenia prac budowlanych. Korzystne dla środowiska naturalnego oraz zdrowia i jakości życia mieszkańców jest także łączenie realizacji poszczególnych prac w obrębie tych samych obiektów przez różnych administratorów, w tym samym czasie – np. podczas modernizacji nawierzchni odcinka drogi można wykonać wszystkie planowane prace na sieciach infrastruktury zlokalizowanych w pasie drogowym. Nie zidentyfikowano oddziaływań skumulowanych wynikających z realizacji innych programów lub planów na tym terenie w tym samym czasie. Realizacja założeń Strategii nie powoduje ryzyka wystąpienia skumulowanego oddziaływania na środowisko ani oddziaływań transgranicznych w trakcie realizacji planowanych zadań, jak i eksploatacji powstałej infrastruktury lub obiektów. Zadania będą realizowane na terenie gminy Starogard Gdański, a ich oddziaływanie nie będzie wykraczać poza granice gminy. Nie zachodzą przesłanki do przeprowadzenia postępowania w sprawie oceny oddziaływania na środowisko w kontekście transgranicznym.</w:t>
      </w:r>
    </w:p>
    <w:p w14:paraId="304F7EDE" w14:textId="77777777" w:rsidR="009F1CC5" w:rsidRPr="009F1CC5" w:rsidRDefault="009F1CC5" w:rsidP="009F1CC5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prawdopodobieństwo wystąpienia ryzyka dla zdrowia ludzi lub zagrożenia dla środowiska </w:t>
      </w:r>
    </w:p>
    <w:p w14:paraId="74C2D9FF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  <w:lang w:eastAsia="en-US"/>
        </w:rPr>
        <w:t>Nie przewiduje się możliwości wystąpienia ryzyka dla zdrowia ludzi lub zagrożenia dla środowiska. Aby zapewnić jak najmniejszą ingerencję zaplanowanych inwestycji w środowisko przyrodnicze, w trakcie realizacji prac będą przestrzegane obowiązujące normy i przepisy w zakresie ochrony środowiska przyrodniczego oraz przepisy BHP, a także zapewniona zostanie ochrona dla osób oraz własności publicznej poprzez unikanie uciążliwości, skażenia środowiska i hałasu. Inwestycje nie będą miały zatem negatywnego wpływu na środowisko oraz zdrowie ludzi, zarówno w fazie realizacji, jak i eksploatacji.</w:t>
      </w:r>
    </w:p>
    <w:p w14:paraId="7231F32F" w14:textId="77777777" w:rsidR="009F1CC5" w:rsidRPr="009F1CC5" w:rsidRDefault="009F1CC5" w:rsidP="009F1CC5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9F1CC5">
        <w:rPr>
          <w:rFonts w:ascii="Arial" w:hAnsi="Arial" w:cs="Arial"/>
          <w:b/>
          <w:color w:val="000000"/>
          <w:sz w:val="20"/>
          <w:szCs w:val="20"/>
          <w:highlight w:val="yellow"/>
        </w:rPr>
        <w:br w:type="page"/>
      </w:r>
    </w:p>
    <w:p w14:paraId="014B537B" w14:textId="77777777" w:rsidR="009F1CC5" w:rsidRPr="009F1CC5" w:rsidRDefault="009F1CC5" w:rsidP="009F1CC5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lastRenderedPageBreak/>
        <w:t>cechy obszaru objętego oddziaływaniem na środowisko</w:t>
      </w:r>
    </w:p>
    <w:p w14:paraId="41CE3D79" w14:textId="77777777" w:rsidR="009F1CC5" w:rsidRPr="009F1CC5" w:rsidRDefault="009F1CC5" w:rsidP="009F1CC5">
      <w:pPr>
        <w:numPr>
          <w:ilvl w:val="0"/>
          <w:numId w:val="5"/>
        </w:numPr>
        <w:spacing w:before="120" w:after="120" w:line="276" w:lineRule="auto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obszary o szczególnych właściwościach naturalnych lub posiadające znaczenie dla dziedzictwa kulturowego, wrażliwe na oddziaływania, istniejące przekroczenia standardów jakości środowiska lub intensywne wykorzystanie terenu </w:t>
      </w:r>
    </w:p>
    <w:p w14:paraId="20190FBF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1CC5">
        <w:rPr>
          <w:rFonts w:ascii="Arial" w:hAnsi="Arial" w:cs="Arial"/>
          <w:color w:val="000000"/>
          <w:sz w:val="20"/>
          <w:szCs w:val="20"/>
        </w:rPr>
        <w:t xml:space="preserve">Strategia Rozwoju Gminy </w:t>
      </w:r>
      <w:r w:rsidRPr="009F1CC5">
        <w:rPr>
          <w:rFonts w:ascii="Arial" w:hAnsi="Arial" w:cs="Arial"/>
          <w:sz w:val="20"/>
          <w:szCs w:val="20"/>
        </w:rPr>
        <w:t xml:space="preserve">jest dokumentem obejmującym teren całej gminy, w tym obszary o ważnym znaczeniu dla dziedzictwa kulturowego (tj. zabytki) oraz obszary o szczególnych właściwościach naturalnych. </w:t>
      </w:r>
      <w:r w:rsidRPr="009F1CC5">
        <w:rPr>
          <w:rFonts w:ascii="Arial" w:eastAsia="TTE18C75F0t00" w:hAnsi="Arial" w:cs="Arial"/>
          <w:sz w:val="20"/>
          <w:szCs w:val="20"/>
        </w:rPr>
        <w:t>Jednakże, obowiązek uzgadniania wszelkich prac inwestycyjnych w ww. strefie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ze służbami Wojewódzkiego Konserwatora Zabytków eliminuje wystąpienie negatywnego wpływu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przewidzianych inwestycji na zachowanie dziedzictwa kulturowego. Prace związane z realizacją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działań strategicznych zostaną przeprowadzone w sposób wywierający minimalny wpływ na środowisko</w:t>
      </w:r>
      <w:r w:rsidRPr="009F1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1CC5">
        <w:rPr>
          <w:rFonts w:ascii="Arial" w:eastAsia="TTE18C75F0t00" w:hAnsi="Arial" w:cs="Arial"/>
          <w:sz w:val="20"/>
          <w:szCs w:val="20"/>
        </w:rPr>
        <w:t>przyrodnicze.</w:t>
      </w:r>
      <w:r w:rsidRPr="009F1CC5">
        <w:rPr>
          <w:rFonts w:ascii="Arial" w:hAnsi="Arial" w:cs="Arial"/>
          <w:sz w:val="20"/>
          <w:szCs w:val="20"/>
        </w:rPr>
        <w:t xml:space="preserve"> </w:t>
      </w:r>
    </w:p>
    <w:p w14:paraId="7C7DC795" w14:textId="77777777" w:rsidR="009F1CC5" w:rsidRPr="009F1CC5" w:rsidRDefault="009F1CC5" w:rsidP="009F1CC5">
      <w:pPr>
        <w:numPr>
          <w:ilvl w:val="0"/>
          <w:numId w:val="5"/>
        </w:num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formy ochrony przyrody w rozumieniu ustawy z dnia 16 kwietnia 2004 r. o ochronie przyrody oraz obszary podlegające ochronie zgodnie z prawem międzynarodowym </w:t>
      </w:r>
    </w:p>
    <w:p w14:paraId="005E9DFD" w14:textId="77777777" w:rsidR="009F1CC5" w:rsidRPr="009F1CC5" w:rsidRDefault="009F1CC5" w:rsidP="009F1CC5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9F1CC5">
        <w:rPr>
          <w:rFonts w:ascii="Arial" w:hAnsi="Arial" w:cs="Arial"/>
          <w:sz w:val="20"/>
          <w:szCs w:val="20"/>
        </w:rPr>
        <w:t>Zgodnie z danymi w Centralnym Rejestrze Form Ochrony Przyrody na terenie gminy znajdują się: Obszar Chronionego Krajobrazu Borów Tucholskich, obejmujący południowo-zachodnie fragmenty gminy, Obszar Chronionego Krajobrazu Doliny Wierzycy, obejmujący północno-zachodnie fragmenty gminy, Obszar Natura 2000 Dolina Wierzycy, obejmujący północno-zachodnie fragmenty gminy, Obszar Natura 2000 Grądy nad Jeziorami Zduńskim i Szpęgawskim, obejmujący północno-wschodnie fragmenty gminy oraz pomniki przyrody.</w:t>
      </w:r>
    </w:p>
    <w:p w14:paraId="48DF93F4" w14:textId="77777777" w:rsidR="009F1CC5" w:rsidRPr="009F1CC5" w:rsidRDefault="009F1CC5" w:rsidP="009F1CC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350AA36" w14:textId="77777777" w:rsidR="009F1CC5" w:rsidRPr="009F1CC5" w:rsidRDefault="009F1CC5" w:rsidP="00FA35F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9E0DFB" w14:textId="49AEB6B6" w:rsidR="00922D46" w:rsidRPr="009F1CC5" w:rsidRDefault="00922D46" w:rsidP="00FA35F1">
      <w:pPr>
        <w:rPr>
          <w:color w:val="000000" w:themeColor="text1"/>
        </w:rPr>
      </w:pPr>
      <w:r w:rsidRPr="009F1CC5">
        <w:rPr>
          <w:color w:val="000000" w:themeColor="text1"/>
        </w:rPr>
        <w:t xml:space="preserve"> </w:t>
      </w:r>
    </w:p>
    <w:sectPr w:rsidR="00922D46" w:rsidRPr="009F1CC5" w:rsidSect="0052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C75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4"/>
    <w:multiLevelType w:val="singleLevel"/>
    <w:tmpl w:val="00000074"/>
    <w:name w:val="WW8Num1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8F05C2C"/>
    <w:multiLevelType w:val="hybridMultilevel"/>
    <w:tmpl w:val="7F94E46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D48"/>
    <w:multiLevelType w:val="hybridMultilevel"/>
    <w:tmpl w:val="254A03A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04ED"/>
    <w:multiLevelType w:val="hybridMultilevel"/>
    <w:tmpl w:val="74AC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228B"/>
    <w:multiLevelType w:val="hybridMultilevel"/>
    <w:tmpl w:val="D3C6126E"/>
    <w:lvl w:ilvl="0" w:tplc="534857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1B79C3"/>
    <w:multiLevelType w:val="hybridMultilevel"/>
    <w:tmpl w:val="C0F4D024"/>
    <w:lvl w:ilvl="0" w:tplc="7048F9B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56EF"/>
    <w:multiLevelType w:val="hybridMultilevel"/>
    <w:tmpl w:val="E88268E0"/>
    <w:lvl w:ilvl="0" w:tplc="676897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252D3"/>
    <w:multiLevelType w:val="hybridMultilevel"/>
    <w:tmpl w:val="7D2EAAE4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35E48"/>
    <w:multiLevelType w:val="hybridMultilevel"/>
    <w:tmpl w:val="0D306B50"/>
    <w:lvl w:ilvl="0" w:tplc="4DEE3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A"/>
    <w:rsid w:val="00120801"/>
    <w:rsid w:val="002C23F2"/>
    <w:rsid w:val="00300EAE"/>
    <w:rsid w:val="00465AE8"/>
    <w:rsid w:val="004712DA"/>
    <w:rsid w:val="00510E5C"/>
    <w:rsid w:val="005E7FC2"/>
    <w:rsid w:val="00615F7C"/>
    <w:rsid w:val="00674B1C"/>
    <w:rsid w:val="0070000B"/>
    <w:rsid w:val="00747611"/>
    <w:rsid w:val="00767200"/>
    <w:rsid w:val="008D0D26"/>
    <w:rsid w:val="00922D46"/>
    <w:rsid w:val="00935733"/>
    <w:rsid w:val="009F1CC5"/>
    <w:rsid w:val="009F6609"/>
    <w:rsid w:val="00A0505F"/>
    <w:rsid w:val="00E16441"/>
    <w:rsid w:val="00E25ED8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2271"/>
  <w15:chartTrackingRefBased/>
  <w15:docId w15:val="{8D1DA2AE-70B6-427E-B95E-6BA3DD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F7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F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5F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F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F7C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7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922D46"/>
    <w:rPr>
      <w:b/>
      <w:bCs/>
    </w:rPr>
  </w:style>
  <w:style w:type="paragraph" w:styleId="NormalnyWeb">
    <w:name w:val="Normal (Web)"/>
    <w:basedOn w:val="Normalny"/>
    <w:uiPriority w:val="99"/>
    <w:unhideWhenUsed/>
    <w:rsid w:val="00922D46"/>
    <w:pPr>
      <w:spacing w:after="150"/>
    </w:pPr>
  </w:style>
  <w:style w:type="paragraph" w:customStyle="1" w:styleId="Default">
    <w:name w:val="Default"/>
    <w:rsid w:val="009F1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9F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2674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D.Plewako</cp:lastModifiedBy>
  <cp:revision>16</cp:revision>
  <dcterms:created xsi:type="dcterms:W3CDTF">2021-05-18T14:23:00Z</dcterms:created>
  <dcterms:modified xsi:type="dcterms:W3CDTF">2024-05-06T08:21:00Z</dcterms:modified>
</cp:coreProperties>
</file>