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766" w:rsidRPr="00460766" w:rsidRDefault="00460766" w:rsidP="00460766">
      <w:pPr>
        <w:spacing w:before="80" w:after="80"/>
        <w:rPr>
          <w:rStyle w:val="CharStyle11"/>
          <w:rFonts w:ascii="Calibri" w:hAnsi="Calibri" w:cstheme="minorHAnsi"/>
          <w:sz w:val="22"/>
          <w:szCs w:val="22"/>
        </w:rPr>
      </w:pPr>
    </w:p>
    <w:p w:rsidR="00460766" w:rsidRPr="00460766" w:rsidRDefault="00460766" w:rsidP="00460766">
      <w:pPr>
        <w:pStyle w:val="Style8"/>
        <w:shd w:val="clear" w:color="auto" w:fill="auto"/>
        <w:tabs>
          <w:tab w:val="left" w:pos="3173"/>
        </w:tabs>
        <w:spacing w:before="80" w:after="80" w:line="240" w:lineRule="auto"/>
        <w:ind w:firstLine="0"/>
        <w:jc w:val="center"/>
        <w:rPr>
          <w:rFonts w:ascii="Calibri" w:hAnsi="Calibri"/>
          <w:b/>
          <w:sz w:val="22"/>
          <w:szCs w:val="22"/>
        </w:rPr>
      </w:pP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>UZASADNIENIE</w:t>
      </w:r>
    </w:p>
    <w:p w:rsidR="00460766" w:rsidRPr="00460766" w:rsidRDefault="007B095D" w:rsidP="00460766">
      <w:pPr>
        <w:pStyle w:val="Style8"/>
        <w:shd w:val="clear" w:color="auto" w:fill="auto"/>
        <w:tabs>
          <w:tab w:val="left" w:leader="dot" w:pos="1585"/>
        </w:tabs>
        <w:spacing w:before="80" w:after="80" w:line="240" w:lineRule="auto"/>
        <w:ind w:firstLine="0"/>
        <w:jc w:val="both"/>
        <w:rPr>
          <w:rStyle w:val="CharStyle45"/>
          <w:rFonts w:ascii="Calibri" w:hAnsi="Calibri"/>
          <w:sz w:val="22"/>
          <w:szCs w:val="22"/>
        </w:rPr>
      </w:pPr>
      <w:r>
        <w:rPr>
          <w:rStyle w:val="CharStyle45"/>
          <w:rFonts w:ascii="Calibri" w:hAnsi="Calibri" w:cstheme="minorHAnsi"/>
          <w:sz w:val="22"/>
          <w:szCs w:val="22"/>
        </w:rPr>
        <w:t>do Uchwały Nr XXXII/</w:t>
      </w:r>
      <w:r w:rsidR="001C2688">
        <w:rPr>
          <w:rStyle w:val="CharStyle45"/>
          <w:rFonts w:ascii="Calibri" w:hAnsi="Calibri" w:cstheme="minorHAnsi"/>
          <w:sz w:val="22"/>
          <w:szCs w:val="22"/>
        </w:rPr>
        <w:t>166/</w:t>
      </w:r>
      <w:r>
        <w:rPr>
          <w:rStyle w:val="CharStyle45"/>
          <w:rFonts w:ascii="Calibri" w:hAnsi="Calibri" w:cstheme="minorHAnsi"/>
          <w:sz w:val="22"/>
          <w:szCs w:val="22"/>
        </w:rPr>
        <w:t xml:space="preserve">13 Rady Gminy Świętajno z dnia  13 sierpnia 2013roku </w:t>
      </w:r>
      <w:r w:rsidR="00460766" w:rsidRPr="00460766">
        <w:rPr>
          <w:rStyle w:val="CharStyle45"/>
          <w:rFonts w:ascii="Calibri" w:hAnsi="Calibri" w:cstheme="minorHAnsi"/>
          <w:sz w:val="22"/>
          <w:szCs w:val="22"/>
        </w:rPr>
        <w:t>r. w sprawie emisji obligacji komunalnych oraz zasad ich zbywania i wykupu.</w:t>
      </w:r>
    </w:p>
    <w:p w:rsidR="00460766" w:rsidRPr="00460766" w:rsidRDefault="00460766" w:rsidP="00460766">
      <w:pPr>
        <w:pStyle w:val="Style8"/>
        <w:shd w:val="clear" w:color="auto" w:fill="auto"/>
        <w:tabs>
          <w:tab w:val="left" w:leader="dot" w:pos="1585"/>
        </w:tabs>
        <w:spacing w:before="80" w:after="80" w:line="240" w:lineRule="auto"/>
        <w:ind w:firstLine="0"/>
        <w:jc w:val="both"/>
        <w:rPr>
          <w:rFonts w:ascii="Calibri" w:hAnsi="Calibri"/>
          <w:sz w:val="22"/>
          <w:szCs w:val="22"/>
        </w:rPr>
      </w:pPr>
    </w:p>
    <w:p w:rsidR="00460766" w:rsidRPr="00460766" w:rsidRDefault="00460766" w:rsidP="00460766">
      <w:pPr>
        <w:spacing w:before="80" w:after="80"/>
        <w:jc w:val="both"/>
        <w:rPr>
          <w:rStyle w:val="CharStyle45"/>
          <w:rFonts w:ascii="Calibri" w:hAnsi="Calibri"/>
          <w:sz w:val="22"/>
          <w:szCs w:val="22"/>
        </w:rPr>
      </w:pPr>
      <w:r w:rsidRPr="00460766">
        <w:rPr>
          <w:rStyle w:val="CharStyle45"/>
          <w:rFonts w:ascii="Calibri" w:hAnsi="Calibri"/>
          <w:sz w:val="22"/>
          <w:szCs w:val="22"/>
        </w:rPr>
        <w:t xml:space="preserve">Niniejsza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uchwała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Rady Gminy Świętajno stanowi formalny początek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i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podstawę prawną procedury uruchamiania emisji obligacji komunalnych w trybie emisji niepublicznej. Obligacje komunalne to papiery wartościowe emitowane przez jednostkę samorządu terytorialnego. Jednostka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samorządowa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otrzymuje od nabywców obligacji środki pieniężne, natomiast sama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jest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zobowiązana do zapłaty </w:t>
      </w:r>
      <w:proofErr w:type="spellStart"/>
      <w:r w:rsidRPr="00460766">
        <w:rPr>
          <w:rStyle w:val="CharStyle45"/>
          <w:rFonts w:ascii="Calibri" w:hAnsi="Calibri"/>
          <w:sz w:val="22"/>
          <w:szCs w:val="22"/>
        </w:rPr>
        <w:t>obligatariuszom</w:t>
      </w:r>
      <w:proofErr w:type="spellEnd"/>
      <w:r w:rsidRPr="00460766">
        <w:rPr>
          <w:rStyle w:val="CharStyle45"/>
          <w:rFonts w:ascii="Calibri" w:hAnsi="Calibri"/>
          <w:sz w:val="22"/>
          <w:szCs w:val="22"/>
        </w:rPr>
        <w:t xml:space="preserve"> odsetek i wykupu obligacji po określonym czasie. Emisja obligacji ma na celu poprawę wartości wskaźnika obsługi zadłużenia z art. 243 ustawy z dnia 27 sierpnia 2009 r. o finansach publicznych (Dz. U. Nr 157 poz. 1240) w latach 2014-2016, poprzez pozyskanie środków pieniężnych na wcześniejszą spłatę rat kapitałowych, a także pozyskanie środków na inwestycje.</w:t>
      </w:r>
    </w:p>
    <w:p w:rsidR="00460766" w:rsidRPr="00460766" w:rsidRDefault="00460766" w:rsidP="0046076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</w:p>
    <w:p w:rsidR="00460766" w:rsidRPr="00460766" w:rsidRDefault="00460766" w:rsidP="0046076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  <w:r w:rsidRPr="00460766">
        <w:rPr>
          <w:rStyle w:val="CharStyle45"/>
          <w:rFonts w:ascii="Calibri" w:hAnsi="Calibri"/>
          <w:sz w:val="22"/>
          <w:szCs w:val="22"/>
        </w:rPr>
        <w:t xml:space="preserve">Obligacje komunalne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w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swej istocie spełniają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funkcję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kredytu, jednak są dla Gminy bardziej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korzystne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niż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tradycyjny </w:t>
      </w:r>
      <w:r w:rsidRPr="00460766">
        <w:rPr>
          <w:rStyle w:val="CharStyle45"/>
          <w:rFonts w:ascii="Calibri" w:hAnsi="Calibri"/>
          <w:sz w:val="22"/>
          <w:szCs w:val="22"/>
        </w:rPr>
        <w:t>komercyjny kredyt bankowy.</w:t>
      </w:r>
    </w:p>
    <w:p w:rsidR="00460766" w:rsidRPr="00460766" w:rsidRDefault="00460766" w:rsidP="0046076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  <w:bookmarkStart w:id="0" w:name="_GoBack"/>
      <w:bookmarkEnd w:id="0"/>
    </w:p>
    <w:p w:rsidR="00460766" w:rsidRPr="00460766" w:rsidRDefault="00460766" w:rsidP="00460766">
      <w:pPr>
        <w:pStyle w:val="Style8"/>
        <w:shd w:val="clear" w:color="auto" w:fill="auto"/>
        <w:spacing w:before="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Wynika to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przede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wszystkim </w:t>
      </w:r>
      <w:r w:rsidRPr="00460766">
        <w:rPr>
          <w:rStyle w:val="CharStyle45"/>
          <w:rFonts w:ascii="Calibri" w:hAnsi="Calibri"/>
          <w:sz w:val="22"/>
          <w:szCs w:val="22"/>
        </w:rPr>
        <w:t>z ich elastyczność.</w:t>
      </w:r>
    </w:p>
    <w:p w:rsidR="00460766" w:rsidRPr="00460766" w:rsidRDefault="00460766" w:rsidP="00460766">
      <w:pPr>
        <w:pStyle w:val="Style8"/>
        <w:shd w:val="clear" w:color="auto" w:fill="auto"/>
        <w:spacing w:before="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  <w:r w:rsidRPr="00460766">
        <w:rPr>
          <w:rStyle w:val="CharStyle45"/>
          <w:rFonts w:ascii="Calibri" w:hAnsi="Calibri"/>
          <w:sz w:val="22"/>
          <w:szCs w:val="22"/>
        </w:rPr>
        <w:t xml:space="preserve"> Instrument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ten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daje możliwość określenia takich terminów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>wykupu (</w:t>
      </w:r>
      <w:r w:rsidRPr="00460766">
        <w:rPr>
          <w:rStyle w:val="CharStyle45"/>
          <w:rFonts w:ascii="Calibri" w:hAnsi="Calibri"/>
          <w:sz w:val="22"/>
          <w:szCs w:val="22"/>
        </w:rPr>
        <w:t>spłaty kapitału), które zapewniają bezpieczeństwo w zakresie płynności finansowej budżetu.</w:t>
      </w:r>
    </w:p>
    <w:p w:rsidR="00460766" w:rsidRPr="00460766" w:rsidRDefault="00460766" w:rsidP="0046076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</w:p>
    <w:p w:rsidR="00460766" w:rsidRPr="00460766" w:rsidRDefault="00460766" w:rsidP="0046076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  <w:r w:rsidRPr="00460766">
        <w:rPr>
          <w:rStyle w:val="CharStyle45"/>
          <w:rFonts w:ascii="Calibri" w:hAnsi="Calibri"/>
          <w:sz w:val="22"/>
          <w:szCs w:val="22"/>
        </w:rPr>
        <w:t>Niniejsza uchwała Rady Gminy w sprawie emisji obligacji określa ogólne warunki emisji. Uchwała określa m. in. wielkość emisji, podział na transze i serie, długość życia poszczególnych obligacji, sposób emisji.</w:t>
      </w:r>
    </w:p>
    <w:p w:rsidR="00460766" w:rsidRPr="00460766" w:rsidRDefault="00460766" w:rsidP="0046076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</w:p>
    <w:p w:rsidR="00460766" w:rsidRPr="00460766" w:rsidRDefault="00460766" w:rsidP="0046076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  <w:r w:rsidRPr="00460766">
        <w:rPr>
          <w:rStyle w:val="CharStyle45"/>
          <w:rFonts w:ascii="Calibri" w:hAnsi="Calibri"/>
          <w:sz w:val="22"/>
          <w:szCs w:val="22"/>
        </w:rPr>
        <w:t xml:space="preserve">Ogólne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określenie warunków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emisji obligacji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jest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niezbędne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w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celu przeprowadzenia negocjacji </w:t>
      </w:r>
      <w:r w:rsidRPr="00460766">
        <w:rPr>
          <w:rStyle w:val="CharStyle45"/>
          <w:rFonts w:ascii="Calibri" w:hAnsi="Calibri"/>
          <w:sz w:val="22"/>
          <w:szCs w:val="22"/>
        </w:rPr>
        <w:br/>
        <w:t xml:space="preserve">w sprawie wyboru agenta emisji obligacji, czyli podmiotu, który będzie organizatorem, depozytariuszem i gwarantem emisji. Uchwała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ta </w:t>
      </w:r>
      <w:r w:rsidRPr="00460766">
        <w:rPr>
          <w:rStyle w:val="CharStyle45"/>
          <w:rFonts w:ascii="Calibri" w:hAnsi="Calibri"/>
          <w:sz w:val="22"/>
          <w:szCs w:val="22"/>
        </w:rPr>
        <w:t xml:space="preserve">określa przedmiot zamówienia, zakreślając równocześnie granice, w których oferenci mogą przygotowywać swoje oferty. Po wybraniu agenta emisji, zostanie podpisana umowa z agentem emisji. </w:t>
      </w:r>
    </w:p>
    <w:p w:rsidR="00460766" w:rsidRPr="00460766" w:rsidRDefault="00460766" w:rsidP="0046076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Style w:val="CharStyle45"/>
          <w:rFonts w:ascii="Calibri" w:hAnsi="Calibri"/>
          <w:sz w:val="22"/>
          <w:szCs w:val="22"/>
        </w:rPr>
      </w:pPr>
    </w:p>
    <w:p w:rsidR="00460766" w:rsidRPr="00460766" w:rsidRDefault="00460766" w:rsidP="00460766">
      <w:pPr>
        <w:pStyle w:val="Style8"/>
        <w:shd w:val="clear" w:color="auto" w:fill="auto"/>
        <w:spacing w:before="80" w:after="80" w:line="240" w:lineRule="auto"/>
        <w:ind w:right="20" w:firstLine="0"/>
        <w:jc w:val="both"/>
        <w:rPr>
          <w:rStyle w:val="CharStyle45"/>
          <w:rFonts w:ascii="Calibri" w:hAnsi="Calibri" w:cstheme="minorHAnsi"/>
          <w:sz w:val="22"/>
          <w:szCs w:val="22"/>
        </w:rPr>
      </w:pPr>
      <w:r w:rsidRPr="00460766">
        <w:rPr>
          <w:rStyle w:val="CharStyle45"/>
          <w:rFonts w:ascii="Calibri" w:hAnsi="Calibri"/>
          <w:sz w:val="22"/>
          <w:szCs w:val="22"/>
        </w:rPr>
        <w:t xml:space="preserve">Emisja obligacji komunalnych zapewnia </w:t>
      </w:r>
      <w:r w:rsidRPr="00460766">
        <w:rPr>
          <w:rStyle w:val="CharStyle45"/>
          <w:rFonts w:ascii="Calibri" w:hAnsi="Calibri" w:cstheme="minorHAnsi"/>
          <w:sz w:val="22"/>
          <w:szCs w:val="22"/>
        </w:rPr>
        <w:t xml:space="preserve">środki </w:t>
      </w:r>
      <w:r w:rsidRPr="00460766">
        <w:rPr>
          <w:rStyle w:val="CharStyle45"/>
          <w:rFonts w:ascii="Calibri" w:hAnsi="Calibri"/>
          <w:sz w:val="22"/>
          <w:szCs w:val="22"/>
        </w:rPr>
        <w:t>niezbędne dla dalszego funkcjonowania i rozwoju Gminy.</w:t>
      </w:r>
    </w:p>
    <w:p w:rsidR="00460766" w:rsidRPr="00460766" w:rsidRDefault="00460766" w:rsidP="00460766">
      <w:pPr>
        <w:rPr>
          <w:rStyle w:val="CharStyle45"/>
          <w:rFonts w:ascii="Calibri" w:hAnsi="Calibri" w:cstheme="minorHAnsi"/>
          <w:sz w:val="22"/>
          <w:szCs w:val="22"/>
        </w:rPr>
      </w:pPr>
    </w:p>
    <w:p w:rsidR="00460766" w:rsidRPr="00460766" w:rsidRDefault="00460766" w:rsidP="00460766">
      <w:pPr>
        <w:rPr>
          <w:rStyle w:val="CharStyle45"/>
          <w:rFonts w:ascii="Calibri" w:hAnsi="Calibri" w:cstheme="minorHAnsi"/>
          <w:sz w:val="22"/>
          <w:szCs w:val="22"/>
        </w:rPr>
      </w:pPr>
    </w:p>
    <w:p w:rsidR="00460766" w:rsidRPr="00460766" w:rsidRDefault="00460766" w:rsidP="00460766">
      <w:pPr>
        <w:rPr>
          <w:rStyle w:val="CharStyle45"/>
          <w:rFonts w:ascii="Calibri" w:hAnsi="Calibri" w:cstheme="minorHAnsi"/>
          <w:sz w:val="22"/>
          <w:szCs w:val="22"/>
        </w:rPr>
      </w:pPr>
    </w:p>
    <w:p w:rsidR="00460766" w:rsidRPr="00460766" w:rsidRDefault="00460766" w:rsidP="00460766">
      <w:pPr>
        <w:rPr>
          <w:rStyle w:val="CharStyle45"/>
          <w:rFonts w:ascii="Calibri" w:hAnsi="Calibri" w:cstheme="minorHAnsi"/>
          <w:b/>
          <w:sz w:val="22"/>
          <w:szCs w:val="22"/>
        </w:rPr>
      </w:pPr>
      <w:r w:rsidRPr="00460766">
        <w:rPr>
          <w:rStyle w:val="CharStyle45"/>
          <w:rFonts w:ascii="Calibri" w:hAnsi="Calibri" w:cstheme="minorHAnsi"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>Przewodniczący Rady Gminy</w:t>
      </w:r>
    </w:p>
    <w:p w:rsidR="00460766" w:rsidRPr="00460766" w:rsidRDefault="00460766" w:rsidP="00460766">
      <w:pPr>
        <w:rPr>
          <w:rStyle w:val="CharStyle45"/>
          <w:rFonts w:ascii="Calibri" w:hAnsi="Calibri" w:cstheme="minorHAnsi"/>
          <w:b/>
          <w:sz w:val="22"/>
          <w:szCs w:val="22"/>
        </w:rPr>
      </w:pP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ab/>
      </w:r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ab/>
        <w:t xml:space="preserve">         Tadeusz  </w:t>
      </w:r>
      <w:proofErr w:type="spellStart"/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>Szemis</w:t>
      </w:r>
      <w:proofErr w:type="spellEnd"/>
      <w:r w:rsidRPr="00460766">
        <w:rPr>
          <w:rStyle w:val="CharStyle45"/>
          <w:rFonts w:ascii="Calibri" w:hAnsi="Calibri" w:cstheme="minorHAnsi"/>
          <w:b/>
          <w:sz w:val="22"/>
          <w:szCs w:val="22"/>
        </w:rPr>
        <w:t xml:space="preserve"> </w:t>
      </w:r>
    </w:p>
    <w:p w:rsidR="00D55845" w:rsidRPr="00460766" w:rsidRDefault="00D55845">
      <w:pPr>
        <w:rPr>
          <w:rFonts w:ascii="Calibri" w:hAnsi="Calibri"/>
        </w:rPr>
      </w:pPr>
    </w:p>
    <w:sectPr w:rsidR="00D55845" w:rsidRPr="00460766" w:rsidSect="00D55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60766"/>
    <w:rsid w:val="000D0ADE"/>
    <w:rsid w:val="001C2688"/>
    <w:rsid w:val="00460766"/>
    <w:rsid w:val="005834F7"/>
    <w:rsid w:val="007B095D"/>
    <w:rsid w:val="00D5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7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9">
    <w:name w:val="Char Style 9"/>
    <w:basedOn w:val="Domylnaczcionkaakapitu"/>
    <w:link w:val="Style8"/>
    <w:uiPriority w:val="99"/>
    <w:locked/>
    <w:rsid w:val="00460766"/>
    <w:rPr>
      <w:sz w:val="17"/>
      <w:szCs w:val="17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460766"/>
    <w:pPr>
      <w:widowControl w:val="0"/>
      <w:shd w:val="clear" w:color="auto" w:fill="FFFFFF"/>
      <w:spacing w:before="600" w:after="0" w:line="240" w:lineRule="atLeast"/>
      <w:ind w:hanging="200"/>
    </w:pPr>
    <w:rPr>
      <w:sz w:val="17"/>
      <w:szCs w:val="17"/>
    </w:rPr>
  </w:style>
  <w:style w:type="character" w:customStyle="1" w:styleId="CharStyle11">
    <w:name w:val="Char Style 11"/>
    <w:basedOn w:val="CharStyle9"/>
    <w:uiPriority w:val="99"/>
    <w:rsid w:val="00460766"/>
    <w:rPr>
      <w:color w:val="636363"/>
    </w:rPr>
  </w:style>
  <w:style w:type="character" w:customStyle="1" w:styleId="CharStyle45">
    <w:name w:val="Char Style 45"/>
    <w:basedOn w:val="CharStyle9"/>
    <w:uiPriority w:val="99"/>
    <w:rsid w:val="00460766"/>
    <w:rPr>
      <w:color w:val="3030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5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1773</Characters>
  <Application>Microsoft Office Word</Application>
  <DocSecurity>0</DocSecurity>
  <Lines>14</Lines>
  <Paragraphs>4</Paragraphs>
  <ScaleCrop>false</ScaleCrop>
  <Company>Świętajno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3</cp:revision>
  <dcterms:created xsi:type="dcterms:W3CDTF">2013-08-07T10:46:00Z</dcterms:created>
  <dcterms:modified xsi:type="dcterms:W3CDTF">2013-08-12T08:47:00Z</dcterms:modified>
</cp:coreProperties>
</file>