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r w:rsidRPr="005D60DC">
        <w:rPr>
          <w:b/>
          <w:noProof/>
          <w:lang w:eastAsia="pl-PL"/>
        </w:rPr>
        <w:drawing>
          <wp:inline distT="0" distB="0" distL="0" distR="0" wp14:anchorId="49A15407" wp14:editId="4D2176AB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bookmarkStart w:id="0" w:name="_GoBack"/>
      <w:bookmarkEnd w:id="0"/>
      <w:r>
        <w:t xml:space="preserve">na stronie </w:t>
      </w:r>
      <w:hyperlink w:history="1"/>
      <w:hyperlink r:id="rId8" w:history="1">
        <w:r w:rsidR="00D76204" w:rsidRPr="00435062">
          <w:rPr>
            <w:rStyle w:val="Hipercze"/>
          </w:rPr>
          <w:t>www.e-akta.gov.pl</w:t>
        </w:r>
      </w:hyperlink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82498"/>
    <w:rsid w:val="00F973B0"/>
    <w:rsid w:val="00FC556F"/>
    <w:rsid w:val="00FD0D7C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kt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B956-8DA5-4947-A199-CAAA4502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Bargiel, Ewa</cp:lastModifiedBy>
  <cp:revision>6</cp:revision>
  <dcterms:created xsi:type="dcterms:W3CDTF">2018-09-04T08:18:00Z</dcterms:created>
  <dcterms:modified xsi:type="dcterms:W3CDTF">2018-09-04T09:43:00Z</dcterms:modified>
</cp:coreProperties>
</file>