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6105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</w:t>
      </w:r>
      <w:r w:rsidR="00FE7112">
        <w:rPr>
          <w:rFonts w:ascii="Fira Sans" w:hAnsi="Fira Sans"/>
          <w:b/>
          <w:sz w:val="24"/>
          <w:szCs w:val="24"/>
        </w:rPr>
        <w:t xml:space="preserve">uzupełniającego </w:t>
      </w:r>
      <w:r w:rsidR="00AF476E" w:rsidRPr="007B1578">
        <w:rPr>
          <w:rFonts w:ascii="Fira Sans" w:hAnsi="Fira Sans"/>
          <w:b/>
          <w:sz w:val="24"/>
          <w:szCs w:val="24"/>
        </w:rPr>
        <w:t xml:space="preserve">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2C4BE0B3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75F7EB5F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430D8C21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79C5A820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2ECFC12C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73327E09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731A234A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4CC8D02F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4EE7701E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1FC50EF5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65DBA199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35D34732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055F1020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2AFA4FA0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5FCD8936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6B15BF85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3C614887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7B283C94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51A8FC4A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5AE38CE8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66A17AF1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5BF66782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16EDDF04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3E914870" w14:textId="77777777" w:rsidR="00C71977" w:rsidRPr="00E46FA9" w:rsidRDefault="00D05422" w:rsidP="009B20F9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E46FA9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E46FA9">
        <w:rPr>
          <w:rFonts w:ascii="Fira Sans" w:eastAsia="Times New Roman" w:hAnsi="Fira Sans"/>
          <w:sz w:val="20"/>
          <w:szCs w:val="20"/>
        </w:rPr>
        <w:t>,</w:t>
      </w:r>
      <w:r w:rsidR="00045CB9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Pr="00E46FA9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E46FA9">
        <w:rPr>
          <w:rFonts w:ascii="Fira Sans" w:eastAsia="Times New Roman" w:hAnsi="Fira Sans"/>
          <w:sz w:val="20"/>
          <w:szCs w:val="20"/>
        </w:rPr>
        <w:t>z</w:t>
      </w:r>
      <w:r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6A349E" w:rsidRPr="00E46FA9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803B28" w:rsidRPr="00E46FA9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803B28" w:rsidRPr="00E46FA9">
        <w:rPr>
          <w:rFonts w:ascii="Fira Sans" w:eastAsia="Times New Roman" w:hAnsi="Fira Sans"/>
          <w:sz w:val="20"/>
          <w:szCs w:val="20"/>
        </w:rPr>
        <w:t>rachmistrza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E46FA9" w:rsidRPr="00E46FA9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E46FA9" w:rsidRPr="00E46FA9">
        <w:rPr>
          <w:rFonts w:ascii="Fira Sans" w:eastAsia="Times New Roman" w:hAnsi="Fira Sans" w:cs="Times New Roman"/>
          <w:sz w:val="19"/>
          <w:szCs w:val="19"/>
          <w:lang w:eastAsia="pl-PL"/>
        </w:rPr>
        <w:t>(</w:t>
      </w:r>
      <w:r w:rsidR="00E46FA9" w:rsidRPr="00E46FA9">
        <w:rPr>
          <w:rFonts w:ascii="Fira Sans" w:eastAsia="Times New Roman" w:hAnsi="Fira Sans"/>
          <w:b/>
          <w:sz w:val="20"/>
          <w:szCs w:val="20"/>
        </w:rPr>
        <w:t>w liczbie adekwatnej do potrzeb</w:t>
      </w:r>
      <w:r w:rsidR="00087785">
        <w:rPr>
          <w:rFonts w:ascii="Fira Sans" w:eastAsia="Times New Roman" w:hAnsi="Fira Sans"/>
          <w:b/>
          <w:sz w:val="20"/>
          <w:szCs w:val="20"/>
        </w:rPr>
        <w:t xml:space="preserve"> określonych przez WBS</w:t>
      </w:r>
      <w:r w:rsidR="00E46FA9" w:rsidRPr="00E46FA9">
        <w:rPr>
          <w:rFonts w:ascii="Fira Sans" w:eastAsia="Times New Roman" w:hAnsi="Fira Sans"/>
          <w:sz w:val="20"/>
          <w:szCs w:val="20"/>
        </w:rPr>
        <w:t>)</w:t>
      </w:r>
      <w:r w:rsidR="00D434F1" w:rsidRPr="00E46FA9">
        <w:rPr>
          <w:rFonts w:ascii="Fira Sans" w:eastAsia="Times New Roman" w:hAnsi="Fira Sans"/>
          <w:sz w:val="20"/>
          <w:szCs w:val="20"/>
        </w:rPr>
        <w:t>. Z tymi osobami zostaną podpisane umowy</w:t>
      </w:r>
      <w:r w:rsidR="00E46FA9" w:rsidRPr="00E46FA9">
        <w:rPr>
          <w:rFonts w:ascii="Fira Sans" w:eastAsia="Times New Roman" w:hAnsi="Fira Sans"/>
          <w:sz w:val="20"/>
          <w:szCs w:val="20"/>
        </w:rPr>
        <w:t>.</w:t>
      </w:r>
      <w:r w:rsid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>Następnie GBS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E46FA9">
        <w:rPr>
          <w:rFonts w:ascii="Fira Sans" w:eastAsia="Times New Roman" w:hAnsi="Fira Sans"/>
          <w:sz w:val="20"/>
          <w:szCs w:val="20"/>
        </w:rPr>
        <w:t>e</w:t>
      </w:r>
      <w:r w:rsidR="00D54447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do </w:t>
      </w:r>
      <w:r w:rsidR="00D434F1" w:rsidRPr="00E46FA9">
        <w:rPr>
          <w:rFonts w:ascii="Fira Sans" w:eastAsia="Times New Roman" w:hAnsi="Fira Sans"/>
          <w:sz w:val="20"/>
          <w:szCs w:val="20"/>
        </w:rPr>
        <w:t>rachmistrzów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 w:rsidRPr="00E46FA9">
        <w:rPr>
          <w:rFonts w:ascii="Fira Sans" w:eastAsia="Times New Roman" w:hAnsi="Fira Sans"/>
          <w:sz w:val="20"/>
          <w:szCs w:val="20"/>
        </w:rPr>
        <w:t>o zmianie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 ich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statusu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E46FA9">
        <w:rPr>
          <w:rFonts w:ascii="Fira Sans" w:eastAsia="Times New Roman" w:hAnsi="Fira Sans"/>
          <w:sz w:val="20"/>
          <w:szCs w:val="20"/>
        </w:rPr>
        <w:t>prośb</w:t>
      </w:r>
      <w:r w:rsidR="00D434F1" w:rsidRPr="00E46FA9">
        <w:rPr>
          <w:rFonts w:ascii="Fira Sans" w:eastAsia="Times New Roman" w:hAnsi="Fira Sans"/>
          <w:sz w:val="20"/>
          <w:szCs w:val="20"/>
        </w:rPr>
        <w:t>ą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o </w:t>
      </w:r>
      <w:r w:rsidR="004E73D8" w:rsidRPr="00E46FA9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E46FA9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umowy </w:t>
      </w:r>
      <w:r w:rsidR="00D434F1" w:rsidRPr="00E46FA9">
        <w:rPr>
          <w:rFonts w:ascii="Fira Sans" w:eastAsia="Times New Roman" w:hAnsi="Fira Sans"/>
          <w:sz w:val="20"/>
          <w:szCs w:val="20"/>
        </w:rPr>
        <w:t>i</w:t>
      </w:r>
      <w:r w:rsidR="00A0581C" w:rsidRPr="00E46FA9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 w:rsidRPr="00E46FA9">
        <w:rPr>
          <w:rFonts w:ascii="Fira Sans" w:eastAsia="Times New Roman" w:hAnsi="Fira Sans"/>
          <w:sz w:val="20"/>
          <w:szCs w:val="20"/>
        </w:rPr>
        <w:t>rachmistrza</w:t>
      </w:r>
      <w:r w:rsidR="00D434F1" w:rsidRPr="00E46FA9">
        <w:rPr>
          <w:rFonts w:ascii="Fira Sans" w:eastAsia="Times New Roman" w:hAnsi="Fira Sans"/>
          <w:sz w:val="20"/>
          <w:szCs w:val="20"/>
        </w:rPr>
        <w:t>. Rachmistrz uzupełni dane</w:t>
      </w:r>
      <w:r w:rsidR="009469A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E46FA9">
        <w:rPr>
          <w:rFonts w:ascii="Fira Sans" w:eastAsia="Times New Roman" w:hAnsi="Fira Sans"/>
          <w:sz w:val="20"/>
          <w:szCs w:val="20"/>
        </w:rPr>
        <w:t xml:space="preserve">poprzez formularz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E46FA9">
        <w:rPr>
          <w:rFonts w:ascii="Fira Sans" w:eastAsia="Times New Roman" w:hAnsi="Fira Sans"/>
          <w:sz w:val="20"/>
          <w:szCs w:val="20"/>
        </w:rPr>
        <w:t>w</w:t>
      </w:r>
      <w:r w:rsidR="009469AE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>aplikacji e</w:t>
      </w:r>
      <w:r w:rsidR="004A644E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>learning</w:t>
      </w:r>
      <w:r w:rsidR="005F08B3" w:rsidRPr="00E46FA9">
        <w:rPr>
          <w:rFonts w:ascii="Fira Sans" w:eastAsia="Times New Roman" w:hAnsi="Fira Sans"/>
          <w:sz w:val="20"/>
          <w:szCs w:val="20"/>
        </w:rPr>
        <w:t>.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</w:p>
    <w:p w14:paraId="6694BC10" w14:textId="77777777"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72FFA7AC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54D066F9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5A0B311A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7A6799B1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7380270A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1666A1B2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3"/>
    <w:p w14:paraId="7A55F543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4EAF161B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2DEFF2EF" w14:textId="77777777" w:rsidR="007776CB" w:rsidRPr="00662631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662631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662631">
        <w:rPr>
          <w:rFonts w:ascii="Fira Sans" w:hAnsi="Fira Sans"/>
          <w:sz w:val="20"/>
          <w:szCs w:val="20"/>
        </w:rPr>
        <w:t xml:space="preserve"> rachmistrzów </w:t>
      </w:r>
      <w:r w:rsidRPr="00662631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Pr="00662631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 w:rsidRPr="00662631">
        <w:rPr>
          <w:rFonts w:ascii="Fira Sans" w:eastAsia="Times New Roman" w:hAnsi="Fira Sans"/>
          <w:sz w:val="20"/>
          <w:szCs w:val="20"/>
        </w:rPr>
        <w:t xml:space="preserve">potrzebnych </w:t>
      </w:r>
      <w:r w:rsidRPr="00662631">
        <w:rPr>
          <w:rFonts w:ascii="Fira Sans" w:eastAsia="Times New Roman" w:hAnsi="Fira Sans"/>
          <w:sz w:val="20"/>
          <w:szCs w:val="20"/>
        </w:rPr>
        <w:t>osób</w:t>
      </w:r>
      <w:r w:rsidR="004F2CF7" w:rsidRPr="00662631">
        <w:rPr>
          <w:rFonts w:ascii="Fira Sans" w:eastAsia="Times New Roman" w:hAnsi="Fira Sans"/>
          <w:sz w:val="20"/>
          <w:szCs w:val="20"/>
        </w:rPr>
        <w:t>.</w:t>
      </w:r>
      <w:r w:rsidRPr="00662631">
        <w:rPr>
          <w:rFonts w:ascii="Fira Sans" w:hAnsi="Fira Sans"/>
          <w:sz w:val="20"/>
          <w:szCs w:val="20"/>
        </w:rPr>
        <w:t xml:space="preserve"> </w:t>
      </w:r>
      <w:r w:rsidR="00621D40" w:rsidRPr="00662631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662631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662631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662631">
        <w:rPr>
          <w:rFonts w:ascii="Fira Sans" w:eastAsia="Times New Roman" w:hAnsi="Fira Sans"/>
          <w:sz w:val="20"/>
          <w:szCs w:val="20"/>
        </w:rPr>
        <w:t>z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="008263FA" w:rsidRPr="00662631">
        <w:rPr>
          <w:rFonts w:ascii="Fira Sans" w:eastAsia="Times New Roman" w:hAnsi="Fira Sans"/>
          <w:sz w:val="20"/>
          <w:szCs w:val="20"/>
        </w:rPr>
        <w:t>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</w:t>
      </w:r>
      <w:r w:rsidR="007776CB" w:rsidRPr="00662631">
        <w:rPr>
          <w:rFonts w:ascii="Fira Sans" w:eastAsia="Times New Roman" w:hAnsi="Fira Sans"/>
          <w:sz w:val="20"/>
          <w:szCs w:val="20"/>
        </w:rPr>
        <w:t>ów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662631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rachmistrzów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662631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 w:rsidRPr="00662631">
        <w:rPr>
          <w:rFonts w:ascii="Fira Sans" w:hAnsi="Fira Sans"/>
          <w:sz w:val="20"/>
          <w:szCs w:val="20"/>
        </w:rPr>
        <w:t>8</w:t>
      </w:r>
      <w:r w:rsidR="009469AE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i</w:t>
      </w:r>
      <w:r w:rsidR="00FC7256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1</w:t>
      </w:r>
      <w:r w:rsidR="001E7CCF" w:rsidRPr="00662631">
        <w:rPr>
          <w:rFonts w:ascii="Fira Sans" w:hAnsi="Fira Sans"/>
          <w:sz w:val="20"/>
          <w:szCs w:val="20"/>
        </w:rPr>
        <w:t>9</w:t>
      </w:r>
      <w:r w:rsidR="007776CB" w:rsidRPr="00662631">
        <w:rPr>
          <w:rFonts w:ascii="Fira Sans" w:hAnsi="Fira Sans"/>
          <w:sz w:val="20"/>
          <w:szCs w:val="20"/>
        </w:rPr>
        <w:t>.</w:t>
      </w:r>
    </w:p>
    <w:p w14:paraId="69478E98" w14:textId="77777777"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14:paraId="793639E7" w14:textId="77777777"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14:paraId="30584735" w14:textId="77777777"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przekazania mu identyfikatora rachmistrza oraz urządzenia mobilnego, na którym będzie rejestrował dane zebrane od respondentów.</w:t>
      </w:r>
    </w:p>
    <w:p w14:paraId="45B0927F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21F0EE9A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32FE42F8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lastRenderedPageBreak/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5F5BE056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62BA1E94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1933FDB8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7A99292C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6B5F" w14:textId="77777777" w:rsidR="00CC1AD8" w:rsidRDefault="00CC1AD8" w:rsidP="00CC62E8">
      <w:r>
        <w:separator/>
      </w:r>
    </w:p>
  </w:endnote>
  <w:endnote w:type="continuationSeparator" w:id="0">
    <w:p w14:paraId="6A48E273" w14:textId="77777777" w:rsidR="00CC1AD8" w:rsidRDefault="00CC1AD8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8CA0" w14:textId="77777777" w:rsidR="00CC1AD8" w:rsidRDefault="00CC1AD8" w:rsidP="00CC62E8">
      <w:r>
        <w:separator/>
      </w:r>
    </w:p>
  </w:footnote>
  <w:footnote w:type="continuationSeparator" w:id="0">
    <w:p w14:paraId="0E9A9F2F" w14:textId="77777777" w:rsidR="00CC1AD8" w:rsidRDefault="00CC1AD8" w:rsidP="00CC62E8">
      <w:r>
        <w:continuationSeparator/>
      </w:r>
    </w:p>
  </w:footnote>
  <w:footnote w:id="1">
    <w:p w14:paraId="35A2E6D6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87785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55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2631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3523"/>
    <w:rsid w:val="00814DEB"/>
    <w:rsid w:val="008263FA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A43E1"/>
    <w:rsid w:val="00CC1AD8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46FA9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E711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D54D"/>
  <w15:docId w15:val="{ECE00440-7550-4CCA-BB03-82CFE3D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B5F3-4054-45DB-AD85-5FFF18DD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ug_kamila</cp:lastModifiedBy>
  <cp:revision>2</cp:revision>
  <dcterms:created xsi:type="dcterms:W3CDTF">2021-06-18T11:59:00Z</dcterms:created>
  <dcterms:modified xsi:type="dcterms:W3CDTF">2021-06-18T11:59:00Z</dcterms:modified>
</cp:coreProperties>
</file>